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B0" w:rsidRDefault="005027B0" w:rsidP="00CA0BE9">
      <w:pPr>
        <w:ind w:firstLine="709"/>
        <w:jc w:val="both"/>
        <w:rPr>
          <w:rFonts w:ascii="Times New Roman" w:hAnsi="Times New Roman" w:cs="Times New Roman"/>
          <w:sz w:val="28"/>
          <w:szCs w:val="28"/>
        </w:rPr>
      </w:pPr>
      <w:r>
        <w:rPr>
          <w:rFonts w:ascii="Times New Roman" w:hAnsi="Times New Roman" w:cs="Times New Roman"/>
          <w:sz w:val="28"/>
          <w:szCs w:val="28"/>
        </w:rPr>
        <w:t xml:space="preserve">УДК </w:t>
      </w:r>
      <w:r w:rsidRPr="005027B0">
        <w:rPr>
          <w:rFonts w:ascii="Times New Roman" w:hAnsi="Times New Roman" w:cs="Times New Roman"/>
          <w:sz w:val="28"/>
          <w:szCs w:val="28"/>
        </w:rPr>
        <w:t>330.322.1</w:t>
      </w:r>
    </w:p>
    <w:p w:rsidR="005027B0" w:rsidRDefault="005027B0" w:rsidP="00CA0BE9">
      <w:pPr>
        <w:ind w:firstLine="709"/>
        <w:jc w:val="both"/>
        <w:rPr>
          <w:rFonts w:ascii="Times New Roman" w:hAnsi="Times New Roman" w:cs="Times New Roman"/>
          <w:sz w:val="28"/>
          <w:szCs w:val="28"/>
        </w:rPr>
      </w:pPr>
    </w:p>
    <w:p w:rsidR="008A40E9" w:rsidRDefault="00A1209F" w:rsidP="00A1209F">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Л.А Михейкина, </w:t>
      </w:r>
    </w:p>
    <w:p w:rsidR="008A40E9" w:rsidRPr="008A40E9" w:rsidRDefault="008A40E9" w:rsidP="00A1209F">
      <w:pPr>
        <w:ind w:firstLine="709"/>
        <w:jc w:val="right"/>
        <w:rPr>
          <w:rFonts w:ascii="Times New Roman" w:hAnsi="Times New Roman" w:cs="Times New Roman"/>
          <w:sz w:val="28"/>
          <w:szCs w:val="28"/>
        </w:rPr>
      </w:pPr>
      <w:r w:rsidRPr="008A40E9">
        <w:rPr>
          <w:rFonts w:ascii="Times New Roman" w:hAnsi="Times New Roman" w:cs="Times New Roman"/>
          <w:sz w:val="28"/>
          <w:szCs w:val="28"/>
        </w:rPr>
        <w:t>к.э.н., ст. преподаватель кафедры статистики</w:t>
      </w:r>
    </w:p>
    <w:p w:rsidR="008A40E9" w:rsidRDefault="008A40E9" w:rsidP="00A1209F">
      <w:pPr>
        <w:ind w:firstLine="709"/>
        <w:jc w:val="right"/>
        <w:rPr>
          <w:rFonts w:ascii="Times New Roman" w:hAnsi="Times New Roman" w:cs="Times New Roman"/>
          <w:sz w:val="28"/>
          <w:szCs w:val="28"/>
        </w:rPr>
      </w:pPr>
      <w:r w:rsidRPr="008A40E9">
        <w:rPr>
          <w:rFonts w:ascii="Times New Roman" w:hAnsi="Times New Roman" w:cs="Times New Roman"/>
          <w:sz w:val="28"/>
          <w:szCs w:val="28"/>
        </w:rPr>
        <w:t>ФГОУ ВО «РЭУ им. Г.В. Плеханова»</w:t>
      </w:r>
      <w:r>
        <w:rPr>
          <w:rFonts w:ascii="Times New Roman" w:hAnsi="Times New Roman" w:cs="Times New Roman"/>
          <w:sz w:val="28"/>
          <w:szCs w:val="28"/>
        </w:rPr>
        <w:t>,</w:t>
      </w:r>
    </w:p>
    <w:p w:rsidR="008A40E9" w:rsidRPr="00DA2C42" w:rsidRDefault="00DA2C42" w:rsidP="00A1209F">
      <w:pPr>
        <w:ind w:firstLine="709"/>
        <w:jc w:val="right"/>
        <w:rPr>
          <w:rFonts w:ascii="Times New Roman" w:hAnsi="Times New Roman" w:cs="Times New Roman"/>
          <w:sz w:val="28"/>
          <w:szCs w:val="28"/>
        </w:rPr>
      </w:pPr>
      <w:r>
        <w:rPr>
          <w:rFonts w:ascii="Times New Roman" w:hAnsi="Times New Roman" w:cs="Times New Roman"/>
          <w:sz w:val="28"/>
          <w:szCs w:val="28"/>
          <w:lang w:val="en-US"/>
        </w:rPr>
        <w:t>m</w:t>
      </w:r>
      <w:r w:rsidR="008A40E9">
        <w:rPr>
          <w:rFonts w:ascii="Times New Roman" w:hAnsi="Times New Roman" w:cs="Times New Roman"/>
          <w:sz w:val="28"/>
          <w:szCs w:val="28"/>
          <w:lang w:val="en-US"/>
        </w:rPr>
        <w:t>ikheykina</w:t>
      </w:r>
      <w:r w:rsidR="008A40E9" w:rsidRPr="008A40E9">
        <w:rPr>
          <w:rFonts w:ascii="Times New Roman" w:hAnsi="Times New Roman" w:cs="Times New Roman"/>
          <w:sz w:val="28"/>
          <w:szCs w:val="28"/>
        </w:rPr>
        <w:t>.</w:t>
      </w:r>
      <w:r w:rsidR="008A40E9">
        <w:rPr>
          <w:rFonts w:ascii="Times New Roman" w:hAnsi="Times New Roman" w:cs="Times New Roman"/>
          <w:sz w:val="28"/>
          <w:szCs w:val="28"/>
          <w:lang w:val="en-US"/>
        </w:rPr>
        <w:t>la</w:t>
      </w:r>
      <w:r w:rsidR="008A40E9" w:rsidRPr="008A40E9">
        <w:rPr>
          <w:rFonts w:ascii="Times New Roman" w:hAnsi="Times New Roman" w:cs="Times New Roman"/>
          <w:sz w:val="28"/>
          <w:szCs w:val="28"/>
        </w:rPr>
        <w:t>@</w:t>
      </w:r>
      <w:r>
        <w:rPr>
          <w:rFonts w:ascii="Times New Roman" w:hAnsi="Times New Roman" w:cs="Times New Roman"/>
          <w:sz w:val="28"/>
          <w:szCs w:val="28"/>
          <w:lang w:val="en-US"/>
        </w:rPr>
        <w:t>rea</w:t>
      </w:r>
      <w:r w:rsidRPr="00DA2C42">
        <w:rPr>
          <w:rFonts w:ascii="Times New Roman" w:hAnsi="Times New Roman" w:cs="Times New Roman"/>
          <w:sz w:val="28"/>
          <w:szCs w:val="28"/>
        </w:rPr>
        <w:t>.</w:t>
      </w:r>
      <w:r>
        <w:rPr>
          <w:rFonts w:ascii="Times New Roman" w:hAnsi="Times New Roman" w:cs="Times New Roman"/>
          <w:sz w:val="28"/>
          <w:szCs w:val="28"/>
          <w:lang w:val="en-US"/>
        </w:rPr>
        <w:t>ru</w:t>
      </w:r>
    </w:p>
    <w:p w:rsidR="00A1209F" w:rsidRDefault="00A1209F" w:rsidP="00A1209F">
      <w:pPr>
        <w:ind w:firstLine="709"/>
        <w:jc w:val="right"/>
        <w:rPr>
          <w:rFonts w:ascii="Times New Roman" w:hAnsi="Times New Roman" w:cs="Times New Roman"/>
          <w:b/>
          <w:sz w:val="28"/>
          <w:szCs w:val="28"/>
        </w:rPr>
      </w:pPr>
      <w:r>
        <w:rPr>
          <w:rFonts w:ascii="Times New Roman" w:hAnsi="Times New Roman" w:cs="Times New Roman"/>
          <w:b/>
          <w:sz w:val="28"/>
          <w:szCs w:val="28"/>
        </w:rPr>
        <w:t>С.А. Кустова</w:t>
      </w:r>
      <w:r w:rsidR="00DA2C42">
        <w:rPr>
          <w:rFonts w:ascii="Times New Roman" w:hAnsi="Times New Roman" w:cs="Times New Roman"/>
          <w:b/>
          <w:sz w:val="28"/>
          <w:szCs w:val="28"/>
        </w:rPr>
        <w:t>,</w:t>
      </w:r>
    </w:p>
    <w:p w:rsidR="00DA2C42" w:rsidRDefault="00DA2C42" w:rsidP="00A1209F">
      <w:pPr>
        <w:ind w:firstLine="709"/>
        <w:jc w:val="right"/>
        <w:rPr>
          <w:rFonts w:ascii="Times New Roman" w:hAnsi="Times New Roman" w:cs="Times New Roman"/>
          <w:sz w:val="28"/>
          <w:szCs w:val="28"/>
        </w:rPr>
      </w:pPr>
      <w:r>
        <w:rPr>
          <w:rFonts w:ascii="Times New Roman" w:hAnsi="Times New Roman" w:cs="Times New Roman"/>
          <w:sz w:val="28"/>
          <w:szCs w:val="28"/>
        </w:rPr>
        <w:t>студент 3 курса факультета менеджмента</w:t>
      </w:r>
    </w:p>
    <w:p w:rsidR="00DA2C42" w:rsidRDefault="00DA2C42" w:rsidP="00DA2C42">
      <w:pPr>
        <w:ind w:firstLine="709"/>
        <w:jc w:val="right"/>
        <w:rPr>
          <w:rFonts w:ascii="Times New Roman" w:hAnsi="Times New Roman" w:cs="Times New Roman"/>
          <w:sz w:val="28"/>
          <w:szCs w:val="28"/>
        </w:rPr>
      </w:pPr>
      <w:r w:rsidRPr="008A40E9">
        <w:rPr>
          <w:rFonts w:ascii="Times New Roman" w:hAnsi="Times New Roman" w:cs="Times New Roman"/>
          <w:sz w:val="28"/>
          <w:szCs w:val="28"/>
        </w:rPr>
        <w:t>ФГОУ ВО «РЭУ им. Г.В. Плеханова»</w:t>
      </w:r>
      <w:r>
        <w:rPr>
          <w:rFonts w:ascii="Times New Roman" w:hAnsi="Times New Roman" w:cs="Times New Roman"/>
          <w:sz w:val="28"/>
          <w:szCs w:val="28"/>
        </w:rPr>
        <w:t>,</w:t>
      </w:r>
    </w:p>
    <w:p w:rsidR="00DA2C42" w:rsidRPr="00DA2C42" w:rsidRDefault="00DA2C42" w:rsidP="00A1209F">
      <w:pPr>
        <w:ind w:firstLine="709"/>
        <w:jc w:val="right"/>
        <w:rPr>
          <w:rFonts w:ascii="Times New Roman" w:hAnsi="Times New Roman" w:cs="Times New Roman"/>
          <w:sz w:val="28"/>
          <w:szCs w:val="28"/>
        </w:rPr>
      </w:pPr>
      <w:r w:rsidRPr="00DA2C42">
        <w:rPr>
          <w:rFonts w:ascii="Times New Roman" w:hAnsi="Times New Roman" w:cs="Times New Roman"/>
          <w:sz w:val="28"/>
          <w:szCs w:val="28"/>
          <w:lang w:val="en-US"/>
        </w:rPr>
        <w:t>sofiya</w:t>
      </w:r>
      <w:r w:rsidRPr="00DA2C42">
        <w:rPr>
          <w:rFonts w:ascii="Times New Roman" w:hAnsi="Times New Roman" w:cs="Times New Roman"/>
          <w:sz w:val="28"/>
          <w:szCs w:val="28"/>
        </w:rPr>
        <w:t>.</w:t>
      </w:r>
      <w:r w:rsidRPr="00DA2C42">
        <w:rPr>
          <w:rFonts w:ascii="Times New Roman" w:hAnsi="Times New Roman" w:cs="Times New Roman"/>
          <w:sz w:val="28"/>
          <w:szCs w:val="28"/>
          <w:lang w:val="en-US"/>
        </w:rPr>
        <w:t>kustova</w:t>
      </w:r>
      <w:r w:rsidRPr="00DA2C42">
        <w:rPr>
          <w:rFonts w:ascii="Times New Roman" w:hAnsi="Times New Roman" w:cs="Times New Roman"/>
          <w:sz w:val="28"/>
          <w:szCs w:val="28"/>
        </w:rPr>
        <w:t>1@</w:t>
      </w:r>
      <w:r w:rsidRPr="00DA2C42">
        <w:rPr>
          <w:rFonts w:ascii="Times New Roman" w:hAnsi="Times New Roman" w:cs="Times New Roman"/>
          <w:sz w:val="28"/>
          <w:szCs w:val="28"/>
          <w:lang w:val="en-US"/>
        </w:rPr>
        <w:t>gmail</w:t>
      </w:r>
      <w:r w:rsidRPr="00DA2C42">
        <w:rPr>
          <w:rFonts w:ascii="Times New Roman" w:hAnsi="Times New Roman" w:cs="Times New Roman"/>
          <w:sz w:val="28"/>
          <w:szCs w:val="28"/>
        </w:rPr>
        <w:t>.</w:t>
      </w:r>
      <w:r w:rsidRPr="00DA2C42">
        <w:rPr>
          <w:rFonts w:ascii="Times New Roman" w:hAnsi="Times New Roman" w:cs="Times New Roman"/>
          <w:sz w:val="28"/>
          <w:szCs w:val="28"/>
          <w:lang w:val="en-US"/>
        </w:rPr>
        <w:t>com</w:t>
      </w:r>
    </w:p>
    <w:p w:rsidR="00DA2C42" w:rsidRPr="00A1209F" w:rsidRDefault="00DA2C42" w:rsidP="00A1209F">
      <w:pPr>
        <w:ind w:firstLine="709"/>
        <w:jc w:val="right"/>
        <w:rPr>
          <w:rFonts w:ascii="Times New Roman" w:hAnsi="Times New Roman" w:cs="Times New Roman"/>
          <w:b/>
          <w:sz w:val="28"/>
          <w:szCs w:val="28"/>
        </w:rPr>
      </w:pPr>
    </w:p>
    <w:p w:rsidR="005027B0" w:rsidRDefault="00A1209F" w:rsidP="00A1209F">
      <w:pPr>
        <w:ind w:firstLine="709"/>
        <w:jc w:val="center"/>
        <w:rPr>
          <w:rFonts w:ascii="Times New Roman" w:hAnsi="Times New Roman" w:cs="Times New Roman"/>
          <w:b/>
          <w:sz w:val="28"/>
          <w:szCs w:val="28"/>
        </w:rPr>
      </w:pPr>
      <w:r w:rsidRPr="00A1209F">
        <w:rPr>
          <w:rFonts w:ascii="Times New Roman" w:hAnsi="Times New Roman" w:cs="Times New Roman"/>
          <w:b/>
          <w:sz w:val="28"/>
          <w:szCs w:val="28"/>
        </w:rPr>
        <w:t>АНАЛИЗ СИСТЕМЫ ФИНАНСИРОВАНИЯ ИНВЕСТИЦИОННЫХ ПРОЦЕССОВ КАК ОДНОГО ИЗ НАПРАВЛЕНИЙ ПЕРЕХОДА К ЦИФРОВОЙ ЭКОНОМИКЕ</w:t>
      </w:r>
    </w:p>
    <w:p w:rsidR="00A1209F" w:rsidRDefault="00A1209F" w:rsidP="00A1209F">
      <w:pPr>
        <w:ind w:firstLine="709"/>
        <w:jc w:val="center"/>
        <w:rPr>
          <w:rFonts w:ascii="Times New Roman" w:hAnsi="Times New Roman" w:cs="Times New Roman"/>
          <w:b/>
          <w:sz w:val="28"/>
          <w:szCs w:val="28"/>
        </w:rPr>
      </w:pPr>
    </w:p>
    <w:p w:rsidR="00D15B29" w:rsidRDefault="00A1209F" w:rsidP="00D15B29">
      <w:pPr>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00D15B29" w:rsidRPr="0047449E">
        <w:rPr>
          <w:rFonts w:ascii="Times New Roman" w:hAnsi="Times New Roman" w:cs="Times New Roman"/>
          <w:sz w:val="28"/>
          <w:szCs w:val="28"/>
        </w:rPr>
        <w:t xml:space="preserve">Изучение </w:t>
      </w:r>
      <w:r w:rsidR="00D15B29">
        <w:rPr>
          <w:rFonts w:ascii="Times New Roman" w:hAnsi="Times New Roman" w:cs="Times New Roman"/>
          <w:sz w:val="28"/>
          <w:szCs w:val="28"/>
        </w:rPr>
        <w:t xml:space="preserve">финансирования инвестиционных процессов </w:t>
      </w:r>
      <w:r w:rsidR="00D15B29" w:rsidRPr="0047449E">
        <w:rPr>
          <w:rFonts w:ascii="Times New Roman" w:hAnsi="Times New Roman" w:cs="Times New Roman"/>
          <w:sz w:val="28"/>
          <w:szCs w:val="28"/>
        </w:rPr>
        <w:t xml:space="preserve">всегда находится в центре внимания экономической науки, </w:t>
      </w:r>
      <w:r w:rsidR="00D15B29">
        <w:rPr>
          <w:rFonts w:ascii="Times New Roman" w:hAnsi="Times New Roman" w:cs="Times New Roman"/>
          <w:sz w:val="28"/>
          <w:szCs w:val="28"/>
        </w:rPr>
        <w:t>в связи с тем, что</w:t>
      </w:r>
      <w:r w:rsidR="00D15B29" w:rsidRPr="0047449E">
        <w:rPr>
          <w:rFonts w:ascii="Times New Roman" w:hAnsi="Times New Roman" w:cs="Times New Roman"/>
          <w:sz w:val="28"/>
          <w:szCs w:val="28"/>
        </w:rPr>
        <w:t xml:space="preserve"> инвестиции затрагивают ключевые аспекты хозяйственной деятельности, определяя процесс экономического роста в целом. </w:t>
      </w:r>
      <w:r w:rsidR="00D15B29">
        <w:rPr>
          <w:rFonts w:ascii="Times New Roman" w:hAnsi="Times New Roman" w:cs="Times New Roman"/>
          <w:sz w:val="28"/>
          <w:szCs w:val="28"/>
        </w:rPr>
        <w:t xml:space="preserve">Так как переход к цифровой экономике является толчком для привлечения дополнительных финансовых средств, необходимо проанализировать текущее состояние системы финансирования и определить основные направления ее возможного совершенствования. </w:t>
      </w:r>
    </w:p>
    <w:p w:rsidR="00A1209F" w:rsidRPr="00D15B29" w:rsidRDefault="00A1209F" w:rsidP="00D15B29">
      <w:pPr>
        <w:ind w:firstLine="709"/>
        <w:jc w:val="both"/>
        <w:rPr>
          <w:rFonts w:ascii="Times New Roman" w:hAnsi="Times New Roman" w:cs="Times New Roman"/>
          <w:sz w:val="28"/>
          <w:szCs w:val="28"/>
        </w:rPr>
      </w:pPr>
      <w:r>
        <w:rPr>
          <w:rFonts w:ascii="Times New Roman" w:hAnsi="Times New Roman" w:cs="Times New Roman"/>
          <w:b/>
          <w:sz w:val="28"/>
          <w:szCs w:val="28"/>
        </w:rPr>
        <w:t>Ключевые слова</w:t>
      </w:r>
      <w:r w:rsidR="00D15B29">
        <w:rPr>
          <w:rFonts w:ascii="Times New Roman" w:hAnsi="Times New Roman" w:cs="Times New Roman"/>
          <w:b/>
          <w:sz w:val="28"/>
          <w:szCs w:val="28"/>
        </w:rPr>
        <w:t xml:space="preserve">: </w:t>
      </w:r>
      <w:r w:rsidR="00D15B29" w:rsidRPr="00D15B29">
        <w:rPr>
          <w:rFonts w:ascii="Times New Roman" w:hAnsi="Times New Roman" w:cs="Times New Roman"/>
          <w:sz w:val="28"/>
          <w:szCs w:val="28"/>
        </w:rPr>
        <w:t>инвестиции, инвестиционная деятельность, финансирование инвестиционных процессов</w:t>
      </w:r>
    </w:p>
    <w:p w:rsidR="00A1209F" w:rsidRDefault="00A1209F" w:rsidP="00A1209F">
      <w:pPr>
        <w:ind w:firstLine="709"/>
        <w:jc w:val="center"/>
        <w:rPr>
          <w:rFonts w:ascii="Times New Roman" w:hAnsi="Times New Roman" w:cs="Times New Roman"/>
          <w:b/>
          <w:sz w:val="28"/>
          <w:szCs w:val="28"/>
        </w:rPr>
      </w:pPr>
    </w:p>
    <w:p w:rsidR="00DA2C42" w:rsidRDefault="00F46348" w:rsidP="00F46348">
      <w:pPr>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L.A. Mikheykina, </w:t>
      </w:r>
    </w:p>
    <w:p w:rsidR="00DA2C42" w:rsidRPr="00DA2C42" w:rsidRDefault="00DA2C42" w:rsidP="00F46348">
      <w:pPr>
        <w:ind w:firstLine="709"/>
        <w:jc w:val="right"/>
        <w:rPr>
          <w:rFonts w:ascii="Times New Roman" w:hAnsi="Times New Roman" w:cs="Times New Roman"/>
          <w:sz w:val="28"/>
          <w:szCs w:val="28"/>
          <w:lang w:val="en-US"/>
        </w:rPr>
      </w:pPr>
      <w:r w:rsidRPr="00DA2C42">
        <w:rPr>
          <w:rFonts w:ascii="Times New Roman" w:hAnsi="Times New Roman" w:cs="Times New Roman"/>
          <w:sz w:val="28"/>
          <w:szCs w:val="28"/>
          <w:lang w:val="en-US"/>
        </w:rPr>
        <w:t>PhD in Economics, senior lecturer of department of statistics</w:t>
      </w:r>
      <w:r>
        <w:rPr>
          <w:rFonts w:ascii="Times New Roman" w:hAnsi="Times New Roman" w:cs="Times New Roman"/>
          <w:sz w:val="28"/>
          <w:szCs w:val="28"/>
          <w:lang w:val="en-US"/>
        </w:rPr>
        <w:t>,</w:t>
      </w:r>
    </w:p>
    <w:p w:rsidR="00DA2C42" w:rsidRDefault="00DA2C42" w:rsidP="00F46348">
      <w:pPr>
        <w:ind w:firstLine="709"/>
        <w:jc w:val="right"/>
        <w:rPr>
          <w:rFonts w:ascii="Times New Roman" w:hAnsi="Times New Roman" w:cs="Times New Roman"/>
          <w:sz w:val="28"/>
          <w:szCs w:val="28"/>
          <w:lang w:val="en-US"/>
        </w:rPr>
      </w:pPr>
      <w:r w:rsidRPr="00DA2C42">
        <w:rPr>
          <w:rFonts w:ascii="Times New Roman" w:hAnsi="Times New Roman" w:cs="Times New Roman"/>
          <w:sz w:val="28"/>
          <w:szCs w:val="28"/>
          <w:lang w:val="en-US"/>
        </w:rPr>
        <w:t>Plekhanov Russian University of Economics</w:t>
      </w:r>
    </w:p>
    <w:p w:rsidR="00DA2C42" w:rsidRPr="00DA2C42" w:rsidRDefault="00DA2C42" w:rsidP="00DA2C42">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mikheykina</w:t>
      </w:r>
      <w:r w:rsidRPr="00DA2C42">
        <w:rPr>
          <w:rFonts w:ascii="Times New Roman" w:hAnsi="Times New Roman" w:cs="Times New Roman"/>
          <w:sz w:val="28"/>
          <w:szCs w:val="28"/>
          <w:lang w:val="en-US"/>
        </w:rPr>
        <w:t>.</w:t>
      </w:r>
      <w:r>
        <w:rPr>
          <w:rFonts w:ascii="Times New Roman" w:hAnsi="Times New Roman" w:cs="Times New Roman"/>
          <w:sz w:val="28"/>
          <w:szCs w:val="28"/>
          <w:lang w:val="en-US"/>
        </w:rPr>
        <w:t>la</w:t>
      </w:r>
      <w:r w:rsidRPr="00DA2C42">
        <w:rPr>
          <w:rFonts w:ascii="Times New Roman" w:hAnsi="Times New Roman" w:cs="Times New Roman"/>
          <w:sz w:val="28"/>
          <w:szCs w:val="28"/>
          <w:lang w:val="en-US"/>
        </w:rPr>
        <w:t>@</w:t>
      </w:r>
      <w:r>
        <w:rPr>
          <w:rFonts w:ascii="Times New Roman" w:hAnsi="Times New Roman" w:cs="Times New Roman"/>
          <w:sz w:val="28"/>
          <w:szCs w:val="28"/>
          <w:lang w:val="en-US"/>
        </w:rPr>
        <w:t>rea</w:t>
      </w:r>
      <w:r w:rsidRPr="00DA2C42">
        <w:rPr>
          <w:rFonts w:ascii="Times New Roman" w:hAnsi="Times New Roman" w:cs="Times New Roman"/>
          <w:sz w:val="28"/>
          <w:szCs w:val="28"/>
          <w:lang w:val="en-US"/>
        </w:rPr>
        <w:t>.</w:t>
      </w:r>
      <w:r>
        <w:rPr>
          <w:rFonts w:ascii="Times New Roman" w:hAnsi="Times New Roman" w:cs="Times New Roman"/>
          <w:sz w:val="28"/>
          <w:szCs w:val="28"/>
          <w:lang w:val="en-US"/>
        </w:rPr>
        <w:t>ru</w:t>
      </w:r>
    </w:p>
    <w:p w:rsidR="00F46348" w:rsidRDefault="00F46348" w:rsidP="00F46348">
      <w:pPr>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S.A. Kustova</w:t>
      </w:r>
    </w:p>
    <w:p w:rsidR="00DA2C42" w:rsidRDefault="00DA2C42" w:rsidP="00F46348">
      <w:pPr>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student of the third year,</w:t>
      </w:r>
      <w:r w:rsidRPr="00DA2C42">
        <w:rPr>
          <w:rFonts w:ascii="Times New Roman" w:hAnsi="Times New Roman" w:cs="Times New Roman"/>
          <w:sz w:val="28"/>
          <w:szCs w:val="28"/>
          <w:lang w:val="en-US"/>
        </w:rPr>
        <w:t xml:space="preserve"> faculty of management</w:t>
      </w:r>
      <w:r>
        <w:rPr>
          <w:rFonts w:ascii="Times New Roman" w:hAnsi="Times New Roman" w:cs="Times New Roman"/>
          <w:sz w:val="28"/>
          <w:szCs w:val="28"/>
          <w:lang w:val="en-US"/>
        </w:rPr>
        <w:t>,</w:t>
      </w:r>
    </w:p>
    <w:p w:rsidR="00DA2C42" w:rsidRDefault="00DA2C42" w:rsidP="00DA2C42">
      <w:pPr>
        <w:ind w:firstLine="709"/>
        <w:jc w:val="right"/>
        <w:rPr>
          <w:rFonts w:ascii="Times New Roman" w:hAnsi="Times New Roman" w:cs="Times New Roman"/>
          <w:sz w:val="28"/>
          <w:szCs w:val="28"/>
          <w:lang w:val="en-US"/>
        </w:rPr>
      </w:pPr>
      <w:r w:rsidRPr="00DA2C42">
        <w:rPr>
          <w:rFonts w:ascii="Times New Roman" w:hAnsi="Times New Roman" w:cs="Times New Roman"/>
          <w:sz w:val="28"/>
          <w:szCs w:val="28"/>
          <w:lang w:val="en-US"/>
        </w:rPr>
        <w:t>Plekhanov Russian University of Economics</w:t>
      </w:r>
    </w:p>
    <w:p w:rsidR="00DA2C42" w:rsidRPr="00DA2C42" w:rsidRDefault="00DA2C42" w:rsidP="00DA2C42">
      <w:pPr>
        <w:ind w:firstLine="709"/>
        <w:jc w:val="right"/>
        <w:rPr>
          <w:rFonts w:ascii="Times New Roman" w:hAnsi="Times New Roman" w:cs="Times New Roman"/>
          <w:sz w:val="28"/>
          <w:szCs w:val="28"/>
          <w:lang w:val="en-US"/>
        </w:rPr>
      </w:pPr>
      <w:r w:rsidRPr="00DA2C42">
        <w:rPr>
          <w:rFonts w:ascii="Times New Roman" w:hAnsi="Times New Roman" w:cs="Times New Roman"/>
          <w:sz w:val="28"/>
          <w:szCs w:val="28"/>
          <w:lang w:val="en-US"/>
        </w:rPr>
        <w:t>sofiya.kustova1@gmail.com</w:t>
      </w:r>
    </w:p>
    <w:p w:rsidR="00F46348" w:rsidRPr="00F46348" w:rsidRDefault="00F46348" w:rsidP="00A1209F">
      <w:pPr>
        <w:ind w:firstLine="709"/>
        <w:jc w:val="center"/>
        <w:rPr>
          <w:rFonts w:ascii="Times New Roman" w:hAnsi="Times New Roman" w:cs="Times New Roman"/>
          <w:b/>
          <w:sz w:val="28"/>
          <w:szCs w:val="28"/>
          <w:lang w:val="en-US"/>
        </w:rPr>
      </w:pPr>
    </w:p>
    <w:p w:rsidR="00F46348" w:rsidRDefault="00F46348" w:rsidP="00F46348">
      <w:pPr>
        <w:ind w:firstLine="709"/>
        <w:jc w:val="center"/>
        <w:rPr>
          <w:rFonts w:ascii="Times New Roman" w:hAnsi="Times New Roman" w:cs="Times New Roman"/>
          <w:b/>
          <w:sz w:val="28"/>
          <w:szCs w:val="28"/>
          <w:lang w:val="en-US"/>
        </w:rPr>
      </w:pPr>
      <w:r w:rsidRPr="00F46348">
        <w:rPr>
          <w:rFonts w:ascii="Times New Roman" w:hAnsi="Times New Roman" w:cs="Times New Roman"/>
          <w:b/>
          <w:sz w:val="28"/>
          <w:szCs w:val="28"/>
          <w:lang w:val="en-US"/>
        </w:rPr>
        <w:t>ANALYSIS OF INVESTMENT PROCESSES FINANCING SYSTEM AS ONE OF THE DIRECTIONS OF TRANSITION TO DIGITAL ECONOMY</w:t>
      </w:r>
    </w:p>
    <w:p w:rsidR="00F46348" w:rsidRDefault="00F46348" w:rsidP="00D15B29">
      <w:pPr>
        <w:ind w:firstLine="709"/>
        <w:jc w:val="both"/>
        <w:rPr>
          <w:rFonts w:ascii="Times New Roman" w:hAnsi="Times New Roman" w:cs="Times New Roman"/>
          <w:b/>
          <w:sz w:val="28"/>
          <w:szCs w:val="28"/>
          <w:lang w:val="en-US"/>
        </w:rPr>
      </w:pPr>
    </w:p>
    <w:p w:rsidR="00D15B29" w:rsidRPr="00D15B29" w:rsidRDefault="00D15B29" w:rsidP="00D15B29">
      <w:pPr>
        <w:ind w:firstLine="709"/>
        <w:jc w:val="both"/>
        <w:rPr>
          <w:rFonts w:ascii="Times New Roman" w:hAnsi="Times New Roman" w:cs="Times New Roman"/>
          <w:sz w:val="28"/>
          <w:szCs w:val="28"/>
          <w:lang w:val="en-US"/>
        </w:rPr>
      </w:pPr>
      <w:r w:rsidRPr="00D15B29">
        <w:rPr>
          <w:rFonts w:ascii="Times New Roman" w:hAnsi="Times New Roman" w:cs="Times New Roman"/>
          <w:b/>
          <w:sz w:val="28"/>
          <w:szCs w:val="28"/>
          <w:lang w:val="en-US"/>
        </w:rPr>
        <w:t>Abstract.</w:t>
      </w:r>
      <w:r w:rsidRPr="00D15B29">
        <w:rPr>
          <w:rFonts w:ascii="Times New Roman" w:hAnsi="Times New Roman" w:cs="Times New Roman"/>
          <w:sz w:val="28"/>
          <w:szCs w:val="28"/>
          <w:lang w:val="en-US"/>
        </w:rPr>
        <w:t xml:space="preserve"> The </w:t>
      </w:r>
      <w:r w:rsidRPr="00D15B29">
        <w:rPr>
          <w:rFonts w:ascii="Times New Roman" w:hAnsi="Times New Roman" w:cs="Times New Roman"/>
          <w:sz w:val="28"/>
          <w:szCs w:val="28"/>
          <w:lang w:val="en-US"/>
        </w:rPr>
        <w:t>research</w:t>
      </w:r>
      <w:r w:rsidRPr="00D15B29">
        <w:rPr>
          <w:rFonts w:ascii="Times New Roman" w:hAnsi="Times New Roman" w:cs="Times New Roman"/>
          <w:sz w:val="28"/>
          <w:szCs w:val="28"/>
          <w:lang w:val="en-US"/>
        </w:rPr>
        <w:t xml:space="preserve"> of investment processes </w:t>
      </w:r>
      <w:r w:rsidRPr="00D15B29">
        <w:rPr>
          <w:rFonts w:ascii="Times New Roman" w:hAnsi="Times New Roman" w:cs="Times New Roman"/>
          <w:sz w:val="28"/>
          <w:szCs w:val="28"/>
          <w:lang w:val="en-US"/>
        </w:rPr>
        <w:t>financing is</w:t>
      </w:r>
      <w:r w:rsidRPr="00D15B29">
        <w:rPr>
          <w:rFonts w:ascii="Times New Roman" w:hAnsi="Times New Roman" w:cs="Times New Roman"/>
          <w:sz w:val="28"/>
          <w:szCs w:val="28"/>
          <w:lang w:val="en-US"/>
        </w:rPr>
        <w:t xml:space="preserve"> always in the center of economic science attention because investments affect the key aspects of economic activity defining the process of economic growth in general. As transition to digital economy is a push for attraction of additional financial means, </w:t>
      </w:r>
      <w:r w:rsidRPr="00D15B29">
        <w:rPr>
          <w:rFonts w:ascii="Times New Roman" w:hAnsi="Times New Roman" w:cs="Times New Roman"/>
          <w:sz w:val="28"/>
          <w:szCs w:val="28"/>
          <w:lang w:val="en-US"/>
        </w:rPr>
        <w:lastRenderedPageBreak/>
        <w:t>it is necessary to analyse the current state of financing system and to define the main directions of its possible improvement.</w:t>
      </w:r>
    </w:p>
    <w:p w:rsidR="00D15B29" w:rsidRPr="00D15B29" w:rsidRDefault="00D15B29" w:rsidP="00D15B29">
      <w:pPr>
        <w:ind w:firstLine="709"/>
        <w:jc w:val="both"/>
        <w:rPr>
          <w:rFonts w:ascii="Times New Roman" w:hAnsi="Times New Roman" w:cs="Times New Roman"/>
          <w:sz w:val="28"/>
          <w:szCs w:val="28"/>
          <w:lang w:val="en-US"/>
        </w:rPr>
      </w:pPr>
      <w:r w:rsidRPr="00D15B29">
        <w:rPr>
          <w:rFonts w:ascii="Times New Roman" w:hAnsi="Times New Roman" w:cs="Times New Roman"/>
          <w:b/>
          <w:sz w:val="28"/>
          <w:szCs w:val="28"/>
          <w:lang w:val="en-US"/>
        </w:rPr>
        <w:t>Keywords:</w:t>
      </w:r>
      <w:r w:rsidRPr="00D15B29">
        <w:rPr>
          <w:rFonts w:ascii="Times New Roman" w:hAnsi="Times New Roman" w:cs="Times New Roman"/>
          <w:sz w:val="28"/>
          <w:szCs w:val="28"/>
          <w:lang w:val="en-US"/>
        </w:rPr>
        <w:t xml:space="preserve"> investments, investment activities, financing of investment processes</w:t>
      </w:r>
    </w:p>
    <w:p w:rsidR="005027B0" w:rsidRPr="00D15B29" w:rsidRDefault="005027B0" w:rsidP="00CA0BE9">
      <w:pPr>
        <w:ind w:firstLine="709"/>
        <w:jc w:val="both"/>
        <w:rPr>
          <w:rFonts w:ascii="Times New Roman" w:hAnsi="Times New Roman" w:cs="Times New Roman"/>
          <w:sz w:val="28"/>
          <w:szCs w:val="28"/>
          <w:lang w:val="en-US"/>
        </w:rPr>
      </w:pPr>
    </w:p>
    <w:p w:rsidR="00D958A7" w:rsidRDefault="00D958A7" w:rsidP="00CA0BE9">
      <w:pPr>
        <w:ind w:firstLine="709"/>
        <w:jc w:val="both"/>
        <w:rPr>
          <w:rFonts w:ascii="Times New Roman" w:hAnsi="Times New Roman" w:cs="Times New Roman"/>
          <w:noProof/>
          <w:sz w:val="28"/>
          <w:szCs w:val="28"/>
        </w:rPr>
      </w:pPr>
      <w:bookmarkStart w:id="0" w:name="_Hlk505777012"/>
      <w:r w:rsidRPr="00D958A7">
        <w:rPr>
          <w:rFonts w:ascii="Times New Roman" w:hAnsi="Times New Roman" w:cs="Times New Roman"/>
          <w:sz w:val="28"/>
          <w:szCs w:val="28"/>
        </w:rPr>
        <w:t>На современном этапе экономического развития страны судьба российской экономики напрямую зависит от инвестиционной политики государства. А готовность инвесторов вкладывать собственные средства в экономику зависит от существующего в стране инвестиционного климата.</w:t>
      </w:r>
      <w:bookmarkEnd w:id="0"/>
      <w:r w:rsidRPr="00D958A7">
        <w:rPr>
          <w:rFonts w:ascii="Times New Roman" w:hAnsi="Times New Roman" w:cs="Times New Roman"/>
          <w:sz w:val="28"/>
          <w:szCs w:val="28"/>
        </w:rPr>
        <w:t xml:space="preserve"> </w:t>
      </w:r>
      <w:r w:rsidRPr="0047449E">
        <w:rPr>
          <w:rFonts w:ascii="Times New Roman" w:hAnsi="Times New Roman" w:cs="Times New Roman"/>
          <w:sz w:val="28"/>
          <w:szCs w:val="28"/>
        </w:rPr>
        <w:t xml:space="preserve">Так, на основании данных </w:t>
      </w:r>
      <w:r>
        <w:rPr>
          <w:rFonts w:ascii="Times New Roman" w:hAnsi="Times New Roman" w:cs="Times New Roman"/>
          <w:sz w:val="28"/>
          <w:szCs w:val="28"/>
        </w:rPr>
        <w:t>Федеральной с</w:t>
      </w:r>
      <w:r w:rsidR="00CA0BE9">
        <w:rPr>
          <w:rFonts w:ascii="Times New Roman" w:hAnsi="Times New Roman" w:cs="Times New Roman"/>
          <w:sz w:val="28"/>
          <w:szCs w:val="28"/>
        </w:rPr>
        <w:t>лужбы государственной статистики</w:t>
      </w:r>
      <w:r w:rsidRPr="0047449E">
        <w:rPr>
          <w:rFonts w:ascii="Times New Roman" w:hAnsi="Times New Roman" w:cs="Times New Roman"/>
          <w:sz w:val="28"/>
          <w:szCs w:val="28"/>
        </w:rPr>
        <w:t>, с 2001 по 201</w:t>
      </w:r>
      <w:r>
        <w:rPr>
          <w:rFonts w:ascii="Times New Roman" w:hAnsi="Times New Roman" w:cs="Times New Roman"/>
          <w:sz w:val="28"/>
          <w:szCs w:val="28"/>
        </w:rPr>
        <w:t>6</w:t>
      </w:r>
      <w:r w:rsidRPr="0047449E">
        <w:rPr>
          <w:rFonts w:ascii="Times New Roman" w:hAnsi="Times New Roman" w:cs="Times New Roman"/>
          <w:sz w:val="28"/>
          <w:szCs w:val="28"/>
        </w:rPr>
        <w:t xml:space="preserve"> гг. наблюдается существенный рост инвестиций в основной капитал на </w:t>
      </w:r>
      <w:r w:rsidRPr="00D958A7">
        <w:rPr>
          <w:rFonts w:ascii="Times New Roman" w:hAnsi="Times New Roman" w:cs="Times New Roman"/>
          <w:sz w:val="28"/>
          <w:szCs w:val="28"/>
        </w:rPr>
        <w:t>13135,1 млн. руб. (в 9,73 раза)</w:t>
      </w:r>
      <w:r w:rsidRPr="0047449E">
        <w:rPr>
          <w:rFonts w:ascii="Times New Roman" w:hAnsi="Times New Roman" w:cs="Times New Roman"/>
          <w:sz w:val="28"/>
          <w:szCs w:val="28"/>
        </w:rPr>
        <w:t>, который к 201</w:t>
      </w:r>
      <w:r>
        <w:rPr>
          <w:rFonts w:ascii="Times New Roman" w:hAnsi="Times New Roman" w:cs="Times New Roman"/>
          <w:sz w:val="28"/>
          <w:szCs w:val="28"/>
        </w:rPr>
        <w:t>6</w:t>
      </w:r>
      <w:r w:rsidRPr="0047449E">
        <w:rPr>
          <w:rFonts w:ascii="Times New Roman" w:hAnsi="Times New Roman" w:cs="Times New Roman"/>
          <w:sz w:val="28"/>
          <w:szCs w:val="28"/>
        </w:rPr>
        <w:t xml:space="preserve"> г. составил </w:t>
      </w:r>
      <w:r>
        <w:rPr>
          <w:rFonts w:ascii="Times New Roman" w:hAnsi="Times New Roman" w:cs="Times New Roman"/>
          <w:sz w:val="28"/>
          <w:szCs w:val="28"/>
        </w:rPr>
        <w:t>14639,8</w:t>
      </w:r>
      <w:r w:rsidRPr="0047449E">
        <w:rPr>
          <w:rFonts w:ascii="Times New Roman" w:hAnsi="Times New Roman" w:cs="Times New Roman"/>
          <w:sz w:val="28"/>
          <w:szCs w:val="28"/>
        </w:rPr>
        <w:t xml:space="preserve"> млн. рублей</w:t>
      </w:r>
      <w:r w:rsidRPr="00D958A7">
        <w:rPr>
          <w:rFonts w:ascii="Times New Roman" w:hAnsi="Times New Roman" w:cs="Times New Roman"/>
          <w:sz w:val="28"/>
          <w:szCs w:val="28"/>
        </w:rPr>
        <w:t>.</w:t>
      </w:r>
      <w:bookmarkStart w:id="1" w:name="_Hlk505777024"/>
      <w:r w:rsidRPr="00D958A7">
        <w:rPr>
          <w:rFonts w:ascii="Times New Roman" w:hAnsi="Times New Roman" w:cs="Times New Roman"/>
          <w:sz w:val="28"/>
          <w:szCs w:val="28"/>
        </w:rPr>
        <w:t xml:space="preserve"> </w:t>
      </w:r>
      <w:r w:rsidRPr="0047449E">
        <w:rPr>
          <w:rFonts w:ascii="Times New Roman" w:hAnsi="Times New Roman" w:cs="Times New Roman"/>
          <w:sz w:val="28"/>
          <w:szCs w:val="28"/>
        </w:rPr>
        <w:t>Динамика темпов прироста инвестиций в основной капитал показывает, на сколько процентов увеличился или уменьшился данный показатель по отношению к предыдущему году. Наибольший прирост приходится на 2007 г. с увеличением инвестиций</w:t>
      </w:r>
      <w:r w:rsidRPr="0047449E">
        <w:rPr>
          <w:rFonts w:ascii="Times New Roman" w:hAnsi="Times New Roman" w:cs="Times New Roman"/>
          <w:noProof/>
          <w:sz w:val="28"/>
          <w:szCs w:val="28"/>
        </w:rPr>
        <w:t xml:space="preserve"> на 42 % (на 1986199,36 млн. руб.) Самое низкое значение приходится на 2009 г., когда темп прироста инвестиций был отрицательным и составлял -9,17 % (снижение суммы инвестиций на 805 603 млн. руб.).</w:t>
      </w:r>
      <w:bookmarkEnd w:id="1"/>
      <w:r w:rsidRPr="0047449E">
        <w:rPr>
          <w:rFonts w:ascii="Times New Roman" w:hAnsi="Times New Roman" w:cs="Times New Roman"/>
          <w:noProof/>
          <w:sz w:val="28"/>
          <w:szCs w:val="28"/>
        </w:rPr>
        <w:t xml:space="preserve"> После кризиса до конца анализируемого периода наблюдается положительный прирост инвестиций в основной капитал, который в 2015 г. равнялся 4,7 % (</w:t>
      </w:r>
      <w:r>
        <w:rPr>
          <w:rFonts w:ascii="Times New Roman" w:hAnsi="Times New Roman" w:cs="Times New Roman"/>
          <w:noProof/>
          <w:sz w:val="28"/>
          <w:szCs w:val="28"/>
        </w:rPr>
        <w:t xml:space="preserve">Рисунок </w:t>
      </w:r>
      <w:r>
        <w:rPr>
          <w:rFonts w:ascii="Times New Roman" w:hAnsi="Times New Roman" w:cs="Times New Roman"/>
          <w:noProof/>
          <w:sz w:val="28"/>
          <w:szCs w:val="28"/>
        </w:rPr>
        <w:t>1</w:t>
      </w:r>
      <w:r w:rsidRPr="0047449E">
        <w:rPr>
          <w:rFonts w:ascii="Times New Roman" w:hAnsi="Times New Roman" w:cs="Times New Roman"/>
          <w:noProof/>
          <w:sz w:val="28"/>
          <w:szCs w:val="28"/>
        </w:rPr>
        <w:t>).</w:t>
      </w:r>
    </w:p>
    <w:p w:rsidR="00D958A7" w:rsidRDefault="00D958A7" w:rsidP="00CA0BE9">
      <w:pPr>
        <w:ind w:firstLine="709"/>
        <w:jc w:val="both"/>
        <w:rPr>
          <w:rFonts w:ascii="Times New Roman" w:hAnsi="Times New Roman" w:cs="Times New Roman"/>
          <w:noProof/>
          <w:sz w:val="28"/>
          <w:szCs w:val="28"/>
        </w:rPr>
      </w:pPr>
    </w:p>
    <w:p w:rsidR="00D958A7" w:rsidRPr="0047449E" w:rsidRDefault="00D958A7" w:rsidP="00CA0BE9">
      <w:pPr>
        <w:jc w:val="both"/>
        <w:rPr>
          <w:rFonts w:ascii="Times New Roman" w:hAnsi="Times New Roman" w:cs="Times New Roman"/>
          <w:noProof/>
          <w:sz w:val="28"/>
          <w:szCs w:val="28"/>
        </w:rPr>
      </w:pPr>
      <w:r w:rsidRPr="00EF0F24">
        <w:rPr>
          <w:rFonts w:ascii="Times New Roman" w:hAnsi="Times New Roman" w:cs="Times New Roman"/>
          <w:noProof/>
          <w:sz w:val="16"/>
          <w:szCs w:val="16"/>
          <w:lang w:val="en-US" w:eastAsia="en-US"/>
        </w:rPr>
        <mc:AlternateContent>
          <mc:Choice Requires="cx1">
            <w:drawing>
              <wp:inline distT="0" distB="0" distL="0" distR="0" wp14:anchorId="7DFA93D0" wp14:editId="11058F2C">
                <wp:extent cx="5848350" cy="2857500"/>
                <wp:effectExtent l="0" t="0" r="0" b="0"/>
                <wp:docPr id="70" name="Диаграмма 7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7DFA93D0" wp14:editId="11058F2C">
                <wp:extent cx="5848350" cy="2857500"/>
                <wp:effectExtent l="0" t="0" r="0" b="0"/>
                <wp:docPr id="70" name="Диаграмма 7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0" name="Диаграмма 70"/>
                        <pic:cNvPicPr>
                          <a:picLocks noGrp="1" noRot="1" noChangeAspect="1" noMove="1" noResize="1" noEditPoints="1" noAdjustHandles="1" noChangeArrowheads="1" noChangeShapeType="1"/>
                        </pic:cNvPicPr>
                      </pic:nvPicPr>
                      <pic:blipFill>
                        <a:blip r:embed="rId9"/>
                        <a:stretch>
                          <a:fillRect/>
                        </a:stretch>
                      </pic:blipFill>
                      <pic:spPr>
                        <a:xfrm>
                          <a:off x="0" y="0"/>
                          <a:ext cx="5848350" cy="2857500"/>
                        </a:xfrm>
                        <a:prstGeom prst="rect">
                          <a:avLst/>
                        </a:prstGeom>
                      </pic:spPr>
                    </pic:pic>
                  </a:graphicData>
                </a:graphic>
              </wp:inline>
            </w:drawing>
          </mc:Fallback>
        </mc:AlternateContent>
      </w:r>
    </w:p>
    <w:p w:rsidR="00D958A7" w:rsidRDefault="00D958A7" w:rsidP="00CA0BE9">
      <w:pPr>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w:t>
      </w:r>
      <w:r>
        <w:rPr>
          <w:rFonts w:ascii="Times New Roman" w:hAnsi="Times New Roman" w:cs="Times New Roman"/>
          <w:noProof/>
          <w:sz w:val="28"/>
          <w:szCs w:val="28"/>
        </w:rPr>
        <w:t>1</w:t>
      </w:r>
      <w:r>
        <w:rPr>
          <w:rFonts w:ascii="Times New Roman" w:hAnsi="Times New Roman" w:cs="Times New Roman"/>
          <w:noProof/>
          <w:sz w:val="28"/>
          <w:szCs w:val="28"/>
        </w:rPr>
        <w:t xml:space="preserve"> – </w:t>
      </w:r>
      <w:r w:rsidRPr="0047449E">
        <w:rPr>
          <w:rFonts w:ascii="Times New Roman" w:hAnsi="Times New Roman" w:cs="Times New Roman"/>
          <w:noProof/>
          <w:sz w:val="28"/>
          <w:szCs w:val="28"/>
        </w:rPr>
        <w:t>Динамика темпов прироста инвестиций в основной капитал, %</w:t>
      </w:r>
    </w:p>
    <w:p w:rsidR="00D958A7" w:rsidRDefault="00D958A7" w:rsidP="00CA0BE9">
      <w:pPr>
        <w:jc w:val="center"/>
        <w:rPr>
          <w:rFonts w:ascii="Times New Roman" w:hAnsi="Times New Roman" w:cs="Times New Roman"/>
          <w:noProof/>
          <w:sz w:val="28"/>
          <w:szCs w:val="28"/>
        </w:rPr>
      </w:pPr>
    </w:p>
    <w:p w:rsidR="00D958A7" w:rsidRDefault="00CA0BE9" w:rsidP="00CA0BE9">
      <w:pPr>
        <w:ind w:firstLine="709"/>
        <w:jc w:val="both"/>
        <w:rPr>
          <w:rFonts w:ascii="Times New Roman" w:eastAsia="Times New Roman" w:hAnsi="Times New Roman" w:cs="Times New Roman"/>
          <w:color w:val="auto"/>
          <w:sz w:val="28"/>
          <w:szCs w:val="28"/>
        </w:rPr>
      </w:pPr>
      <w:bookmarkStart w:id="2" w:name="_Hlk505777123"/>
      <w:r w:rsidRPr="00CA0BE9">
        <w:rPr>
          <w:rFonts w:ascii="Times New Roman" w:hAnsi="Times New Roman" w:cs="Times New Roman"/>
          <w:noProof/>
          <w:sz w:val="28"/>
          <w:szCs w:val="28"/>
        </w:rPr>
        <w:t xml:space="preserve">Любой экономический субъект привлекает финансовые средства для формирования будущего резерва своего развития. До перехода к рыночной системе система формирования источников финансирования складывалась из двух позиций: государственные средства (60%) и собственные средства (40%). </w:t>
      </w:r>
      <w:r>
        <w:rPr>
          <w:rFonts w:ascii="Times New Roman" w:hAnsi="Times New Roman" w:cs="Times New Roman"/>
          <w:noProof/>
          <w:sz w:val="28"/>
          <w:szCs w:val="28"/>
        </w:rPr>
        <w:t xml:space="preserve">Как мы видм, в Российской Федерации сочетается бюджетное и </w:t>
      </w:r>
      <w:r>
        <w:rPr>
          <w:rFonts w:ascii="Times New Roman" w:hAnsi="Times New Roman" w:cs="Times New Roman"/>
          <w:noProof/>
          <w:sz w:val="28"/>
          <w:szCs w:val="28"/>
        </w:rPr>
        <w:lastRenderedPageBreak/>
        <w:t xml:space="preserve">внебюджетное финансирование инвестиций. </w:t>
      </w:r>
      <w:r w:rsidR="00391903">
        <w:rPr>
          <w:rFonts w:ascii="Times New Roman" w:hAnsi="Times New Roman" w:cs="Times New Roman"/>
          <w:noProof/>
          <w:sz w:val="28"/>
          <w:szCs w:val="28"/>
        </w:rPr>
        <w:t>Проанализировав структуру</w:t>
      </w:r>
      <w:r w:rsidR="00D958A7" w:rsidRPr="0047449E">
        <w:rPr>
          <w:rFonts w:ascii="Times New Roman" w:hAnsi="Times New Roman" w:cs="Times New Roman"/>
          <w:noProof/>
          <w:sz w:val="28"/>
          <w:szCs w:val="28"/>
        </w:rPr>
        <w:t xml:space="preserve"> инвестиций по источникам финансирования</w:t>
      </w:r>
      <w:r w:rsidR="00391903">
        <w:rPr>
          <w:rFonts w:ascii="Times New Roman" w:hAnsi="Times New Roman" w:cs="Times New Roman"/>
          <w:noProof/>
          <w:sz w:val="28"/>
          <w:szCs w:val="28"/>
        </w:rPr>
        <w:t>, мы видим</w:t>
      </w:r>
      <w:r w:rsidR="00D958A7" w:rsidRPr="0047449E">
        <w:rPr>
          <w:rFonts w:ascii="Times New Roman" w:hAnsi="Times New Roman" w:cs="Times New Roman"/>
          <w:noProof/>
          <w:sz w:val="28"/>
          <w:szCs w:val="28"/>
        </w:rPr>
        <w:t>, что основным источником (более 50 %) в период с 2001 г. по 2014 г. были привлеченные средства, однако в 2015 г. больший удельный вес имели собственные источники финансирования, которые равнялись 5260,3 млрд. руб. (50,17 %)</w:t>
      </w:r>
      <w:bookmarkEnd w:id="2"/>
      <w:r>
        <w:rPr>
          <w:rFonts w:ascii="Times New Roman" w:hAnsi="Times New Roman" w:cs="Times New Roman"/>
          <w:noProof/>
          <w:sz w:val="28"/>
          <w:szCs w:val="28"/>
        </w:rPr>
        <w:t xml:space="preserve">. </w:t>
      </w:r>
      <w:r w:rsidR="00391903">
        <w:rPr>
          <w:rFonts w:ascii="Times New Roman" w:eastAsia="Times New Roman" w:hAnsi="Times New Roman" w:cs="Times New Roman"/>
          <w:color w:val="auto"/>
          <w:sz w:val="28"/>
          <w:szCs w:val="28"/>
        </w:rPr>
        <w:t>А</w:t>
      </w:r>
      <w:r w:rsidR="00D958A7" w:rsidRPr="00AF46FA">
        <w:rPr>
          <w:rFonts w:ascii="Times New Roman" w:eastAsia="Times New Roman" w:hAnsi="Times New Roman" w:cs="Times New Roman"/>
          <w:color w:val="auto"/>
          <w:sz w:val="28"/>
          <w:szCs w:val="28"/>
        </w:rPr>
        <w:t xml:space="preserve">налитические показатели динамики структуры </w:t>
      </w:r>
      <w:r>
        <w:rPr>
          <w:rFonts w:ascii="Times New Roman" w:eastAsia="Times New Roman" w:hAnsi="Times New Roman" w:cs="Times New Roman"/>
          <w:color w:val="auto"/>
          <w:sz w:val="28"/>
          <w:szCs w:val="28"/>
        </w:rPr>
        <w:t>рас</w:t>
      </w:r>
      <w:r w:rsidR="00D958A7" w:rsidRPr="00AF46FA">
        <w:rPr>
          <w:rFonts w:ascii="Times New Roman" w:eastAsia="Times New Roman" w:hAnsi="Times New Roman" w:cs="Times New Roman"/>
          <w:color w:val="auto"/>
          <w:sz w:val="28"/>
          <w:szCs w:val="28"/>
        </w:rPr>
        <w:t>пределения собственных и привлеченных средств</w:t>
      </w:r>
      <w:r w:rsidR="00391903">
        <w:rPr>
          <w:rFonts w:ascii="Times New Roman" w:eastAsia="Times New Roman" w:hAnsi="Times New Roman" w:cs="Times New Roman"/>
          <w:color w:val="auto"/>
          <w:sz w:val="28"/>
          <w:szCs w:val="28"/>
        </w:rPr>
        <w:t xml:space="preserve"> говорят о том</w:t>
      </w:r>
      <w:r w:rsidR="00D958A7" w:rsidRPr="00AF46FA">
        <w:rPr>
          <w:rFonts w:ascii="Times New Roman" w:eastAsia="Times New Roman" w:hAnsi="Times New Roman" w:cs="Times New Roman"/>
          <w:color w:val="auto"/>
          <w:sz w:val="28"/>
          <w:szCs w:val="28"/>
        </w:rPr>
        <w:t>, что доля в их распределении по регионам РФ незначительно менялась</w:t>
      </w:r>
      <w:r>
        <w:rPr>
          <w:rFonts w:ascii="Times New Roman" w:eastAsia="Times New Roman" w:hAnsi="Times New Roman" w:cs="Times New Roman"/>
          <w:color w:val="auto"/>
          <w:sz w:val="28"/>
          <w:szCs w:val="28"/>
        </w:rPr>
        <w:t xml:space="preserve"> (Таблица 1</w:t>
      </w:r>
      <w:r w:rsidR="00D958A7" w:rsidRPr="00AF46FA">
        <w:rPr>
          <w:rFonts w:ascii="Times New Roman" w:eastAsia="Times New Roman" w:hAnsi="Times New Roman" w:cs="Times New Roman"/>
          <w:color w:val="auto"/>
          <w:sz w:val="28"/>
          <w:szCs w:val="28"/>
        </w:rPr>
        <w:t xml:space="preserve">). </w:t>
      </w:r>
    </w:p>
    <w:p w:rsidR="00DA2C42" w:rsidRDefault="00DA2C42" w:rsidP="00CA0BE9">
      <w:pPr>
        <w:pStyle w:val="2"/>
        <w:spacing w:after="0" w:line="240" w:lineRule="auto"/>
        <w:ind w:left="0" w:right="-142"/>
        <w:jc w:val="both"/>
        <w:rPr>
          <w:sz w:val="28"/>
          <w:szCs w:val="28"/>
        </w:rPr>
      </w:pPr>
    </w:p>
    <w:p w:rsidR="00D958A7" w:rsidRDefault="00D958A7" w:rsidP="00CA0BE9">
      <w:pPr>
        <w:pStyle w:val="2"/>
        <w:spacing w:after="0" w:line="240" w:lineRule="auto"/>
        <w:ind w:left="0" w:right="-142"/>
        <w:jc w:val="both"/>
        <w:rPr>
          <w:sz w:val="28"/>
          <w:szCs w:val="28"/>
        </w:rPr>
      </w:pPr>
      <w:r>
        <w:rPr>
          <w:sz w:val="28"/>
          <w:szCs w:val="28"/>
        </w:rPr>
        <w:t xml:space="preserve">Таблица </w:t>
      </w:r>
      <w:r w:rsidR="00CA0BE9">
        <w:rPr>
          <w:sz w:val="28"/>
          <w:szCs w:val="28"/>
        </w:rPr>
        <w:t>1</w:t>
      </w:r>
      <w:r>
        <w:rPr>
          <w:sz w:val="28"/>
          <w:szCs w:val="28"/>
        </w:rPr>
        <w:t xml:space="preserve"> – Показатели структурных различий собственных и привлеченных средств</w:t>
      </w:r>
      <w:r w:rsidRPr="007E3712">
        <w:rPr>
          <w:sz w:val="28"/>
          <w:szCs w:val="28"/>
        </w:rPr>
        <w:t xml:space="preserve"> в Российской Федерации</w:t>
      </w:r>
    </w:p>
    <w:tbl>
      <w:tblPr>
        <w:tblStyle w:val="a4"/>
        <w:tblW w:w="9189" w:type="dxa"/>
        <w:tblLook w:val="04A0" w:firstRow="1" w:lastRow="0" w:firstColumn="1" w:lastColumn="0" w:noHBand="0" w:noVBand="1"/>
      </w:tblPr>
      <w:tblGrid>
        <w:gridCol w:w="4380"/>
        <w:gridCol w:w="1781"/>
        <w:gridCol w:w="1369"/>
        <w:gridCol w:w="1659"/>
      </w:tblGrid>
      <w:tr w:rsidR="00D958A7" w:rsidRPr="00DA2C42" w:rsidTr="00CA0BE9">
        <w:trPr>
          <w:trHeight w:val="650"/>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Наименование показателя</w:t>
            </w:r>
          </w:p>
        </w:tc>
        <w:tc>
          <w:tcPr>
            <w:tcW w:w="1781" w:type="dxa"/>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2010 по сравнению с 2005</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2015 по сравнению с 2010</w:t>
            </w:r>
          </w:p>
        </w:tc>
        <w:tc>
          <w:tcPr>
            <w:tcW w:w="1659" w:type="dxa"/>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2015 по сравнению с 2005</w:t>
            </w:r>
          </w:p>
        </w:tc>
      </w:tr>
      <w:tr w:rsidR="00D958A7" w:rsidRPr="00DA2C42" w:rsidTr="00CA0BE9">
        <w:trPr>
          <w:trHeight w:val="216"/>
        </w:trPr>
        <w:tc>
          <w:tcPr>
            <w:tcW w:w="9189" w:type="dxa"/>
            <w:gridSpan w:val="4"/>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Собственные средства</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Линейный коэффициент «абсолютных» структурных сдвигов</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-0,31</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0,13</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0,45</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Квадратический коэффициент "абсолютных" структурных сдвигов</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2,80</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1,20</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3,99</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Интегральный коэффициент структурных сдвигов К.</w:t>
            </w:r>
            <w:r w:rsidR="00CA0BE9" w:rsidRPr="00DA2C42">
              <w:rPr>
                <w:rFonts w:ascii="Times New Roman" w:eastAsia="Times New Roman" w:hAnsi="Times New Roman" w:cs="Times New Roman"/>
                <w:sz w:val="18"/>
                <w:szCs w:val="18"/>
              </w:rPr>
              <w:t xml:space="preserve"> </w:t>
            </w:r>
            <w:r w:rsidRPr="00DA2C42">
              <w:rPr>
                <w:rFonts w:ascii="Times New Roman" w:eastAsia="Times New Roman" w:hAnsi="Times New Roman" w:cs="Times New Roman"/>
                <w:sz w:val="18"/>
                <w:szCs w:val="18"/>
              </w:rPr>
              <w:t>Гатева</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0,24</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0,22</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0,23</w:t>
            </w:r>
          </w:p>
        </w:tc>
      </w:tr>
      <w:tr w:rsidR="00D958A7" w:rsidRPr="00DA2C42" w:rsidTr="00DA2C42">
        <w:trPr>
          <w:trHeight w:val="235"/>
        </w:trPr>
        <w:tc>
          <w:tcPr>
            <w:tcW w:w="4380" w:type="dxa"/>
            <w:vAlign w:val="center"/>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Индекс М.В. Рябцева</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0,17</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0,16</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0,16</w:t>
            </w:r>
          </w:p>
        </w:tc>
      </w:tr>
      <w:tr w:rsidR="00D958A7" w:rsidRPr="00DA2C42" w:rsidTr="00CA0BE9">
        <w:trPr>
          <w:trHeight w:val="216"/>
        </w:trPr>
        <w:tc>
          <w:tcPr>
            <w:tcW w:w="4380" w:type="dxa"/>
            <w:vAlign w:val="center"/>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Интегральный коэффициент структурных различий А.</w:t>
            </w:r>
            <w:r w:rsidR="00CA0BE9" w:rsidRPr="00DA2C42">
              <w:rPr>
                <w:rFonts w:ascii="Times New Roman" w:eastAsia="Times New Roman" w:hAnsi="Times New Roman" w:cs="Times New Roman"/>
                <w:sz w:val="18"/>
                <w:szCs w:val="18"/>
              </w:rPr>
              <w:t xml:space="preserve"> </w:t>
            </w:r>
            <w:r w:rsidRPr="00DA2C42">
              <w:rPr>
                <w:rFonts w:ascii="Times New Roman" w:eastAsia="Times New Roman" w:hAnsi="Times New Roman" w:cs="Times New Roman"/>
                <w:sz w:val="18"/>
                <w:szCs w:val="18"/>
              </w:rPr>
              <w:t>Салаи</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0,24</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0,21</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0,24</w:t>
            </w:r>
          </w:p>
        </w:tc>
      </w:tr>
      <w:tr w:rsidR="00D958A7" w:rsidRPr="00DA2C42" w:rsidTr="00CA0BE9">
        <w:trPr>
          <w:trHeight w:val="216"/>
        </w:trPr>
        <w:tc>
          <w:tcPr>
            <w:tcW w:w="9189" w:type="dxa"/>
            <w:gridSpan w:val="4"/>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Привлеченные средства</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Линейный коэффициент «абсолютных» структурных сдвигов</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0,31</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-0,13</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-0,45</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Квадратический коэффициент "абсолютных" структурных сдвигов</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2,80</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1,20</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3,99</w:t>
            </w:r>
          </w:p>
        </w:tc>
      </w:tr>
      <w:tr w:rsidR="00D958A7" w:rsidRPr="00DA2C42" w:rsidTr="00CA0BE9">
        <w:trPr>
          <w:trHeight w:val="432"/>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Интегральный коэффициент структурных сдвигов К.</w:t>
            </w:r>
            <w:r w:rsidR="00CA0BE9" w:rsidRPr="00DA2C42">
              <w:rPr>
                <w:rFonts w:ascii="Times New Roman" w:eastAsia="Times New Roman" w:hAnsi="Times New Roman" w:cs="Times New Roman"/>
                <w:sz w:val="18"/>
                <w:szCs w:val="18"/>
              </w:rPr>
              <w:t xml:space="preserve"> </w:t>
            </w:r>
            <w:r w:rsidRPr="00DA2C42">
              <w:rPr>
                <w:rFonts w:ascii="Times New Roman" w:eastAsia="Times New Roman" w:hAnsi="Times New Roman" w:cs="Times New Roman"/>
                <w:sz w:val="18"/>
                <w:szCs w:val="18"/>
              </w:rPr>
              <w:t>Гатева</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0,15</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0,16</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0,17</w:t>
            </w:r>
          </w:p>
        </w:tc>
      </w:tr>
      <w:tr w:rsidR="00D958A7" w:rsidRPr="00DA2C42" w:rsidTr="00DA2C42">
        <w:trPr>
          <w:trHeight w:val="139"/>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Индекс М.В. Рябцева</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0,11</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0,11</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0,12</w:t>
            </w:r>
          </w:p>
        </w:tc>
      </w:tr>
      <w:tr w:rsidR="00D958A7" w:rsidRPr="00DA2C42" w:rsidTr="00CA0BE9">
        <w:trPr>
          <w:trHeight w:val="216"/>
        </w:trPr>
        <w:tc>
          <w:tcPr>
            <w:tcW w:w="4380" w:type="dxa"/>
            <w:vAlign w:val="center"/>
            <w:hideMark/>
          </w:tcPr>
          <w:p w:rsidR="00D958A7" w:rsidRPr="00DA2C42" w:rsidRDefault="00D958A7" w:rsidP="00CA0BE9">
            <w:pP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Интегральный коэффициент структурных различий А.</w:t>
            </w:r>
            <w:r w:rsidR="00CA0BE9" w:rsidRPr="00DA2C42">
              <w:rPr>
                <w:rFonts w:ascii="Times New Roman" w:eastAsia="Times New Roman" w:hAnsi="Times New Roman" w:cs="Times New Roman"/>
                <w:sz w:val="18"/>
                <w:szCs w:val="18"/>
              </w:rPr>
              <w:t xml:space="preserve"> </w:t>
            </w:r>
            <w:r w:rsidRPr="00DA2C42">
              <w:rPr>
                <w:rFonts w:ascii="Times New Roman" w:eastAsia="Times New Roman" w:hAnsi="Times New Roman" w:cs="Times New Roman"/>
                <w:sz w:val="18"/>
                <w:szCs w:val="18"/>
              </w:rPr>
              <w:t>Салаи</w:t>
            </w:r>
          </w:p>
        </w:tc>
        <w:tc>
          <w:tcPr>
            <w:tcW w:w="1781"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0,11</w:t>
            </w:r>
          </w:p>
        </w:tc>
        <w:tc>
          <w:tcPr>
            <w:tcW w:w="1369" w:type="dxa"/>
            <w:vAlign w:val="center"/>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0,12</w:t>
            </w:r>
          </w:p>
        </w:tc>
        <w:tc>
          <w:tcPr>
            <w:tcW w:w="1659" w:type="dxa"/>
            <w:noWrap/>
            <w:vAlign w:val="center"/>
            <w:hideMark/>
          </w:tcPr>
          <w:p w:rsidR="00D958A7" w:rsidRPr="00DA2C42" w:rsidRDefault="00D958A7" w:rsidP="00CA0BE9">
            <w:pPr>
              <w:jc w:val="center"/>
              <w:rPr>
                <w:rFonts w:ascii="Times New Roman" w:eastAsia="Times New Roman" w:hAnsi="Times New Roman" w:cs="Times New Roman"/>
                <w:sz w:val="18"/>
                <w:szCs w:val="18"/>
              </w:rPr>
            </w:pPr>
            <w:r w:rsidRPr="00DA2C42">
              <w:rPr>
                <w:rFonts w:ascii="Times New Roman" w:eastAsia="Times New Roman" w:hAnsi="Times New Roman" w:cs="Times New Roman"/>
                <w:sz w:val="18"/>
                <w:szCs w:val="18"/>
              </w:rPr>
              <w:t>0,12</w:t>
            </w:r>
          </w:p>
        </w:tc>
      </w:tr>
    </w:tbl>
    <w:p w:rsidR="00CA0BE9" w:rsidRDefault="00CA0BE9" w:rsidP="00CA0BE9">
      <w:pPr>
        <w:pStyle w:val="2"/>
        <w:spacing w:after="0" w:line="240" w:lineRule="auto"/>
        <w:ind w:left="0" w:right="-142" w:firstLine="709"/>
        <w:jc w:val="both"/>
        <w:rPr>
          <w:sz w:val="28"/>
          <w:szCs w:val="28"/>
        </w:rPr>
      </w:pPr>
    </w:p>
    <w:p w:rsidR="00DA2C42" w:rsidRDefault="00DA2C42" w:rsidP="00DA2C42">
      <w:pPr>
        <w:pStyle w:val="2"/>
        <w:spacing w:after="0" w:line="240" w:lineRule="auto"/>
        <w:ind w:left="0" w:right="-142" w:firstLine="709"/>
        <w:jc w:val="both"/>
        <w:rPr>
          <w:sz w:val="28"/>
          <w:szCs w:val="28"/>
        </w:rPr>
      </w:pPr>
      <w:bookmarkStart w:id="3" w:name="_Hlk505777158"/>
      <w:r w:rsidRPr="007E3712">
        <w:rPr>
          <w:sz w:val="28"/>
          <w:szCs w:val="28"/>
        </w:rPr>
        <w:t xml:space="preserve">На основе </w:t>
      </w:r>
      <w:r>
        <w:rPr>
          <w:sz w:val="28"/>
          <w:szCs w:val="28"/>
        </w:rPr>
        <w:t xml:space="preserve">рассчитанных </w:t>
      </w:r>
      <w:r w:rsidRPr="007E3712">
        <w:rPr>
          <w:sz w:val="28"/>
          <w:szCs w:val="28"/>
        </w:rPr>
        <w:t>показателей структурных различий</w:t>
      </w:r>
      <w:r>
        <w:rPr>
          <w:color w:val="333333"/>
          <w:sz w:val="21"/>
          <w:szCs w:val="21"/>
        </w:rPr>
        <w:t xml:space="preserve"> </w:t>
      </w:r>
      <w:r>
        <w:rPr>
          <w:sz w:val="28"/>
          <w:szCs w:val="28"/>
        </w:rPr>
        <w:t>в распределении собственных и привлеченных средств</w:t>
      </w:r>
      <w:r w:rsidRPr="007E3712">
        <w:rPr>
          <w:sz w:val="28"/>
          <w:szCs w:val="28"/>
        </w:rPr>
        <w:t xml:space="preserve"> в Российской Федерации</w:t>
      </w:r>
      <w:r>
        <w:rPr>
          <w:sz w:val="28"/>
          <w:szCs w:val="28"/>
        </w:rPr>
        <w:t xml:space="preserve"> мы можем сделать вывод, что произошли незначительные изменения в структуре распределения собственных и привлеченных средств. Значение индекса Рябцева говорит о весьма низком уровне различий по обоим показателям. В целом, рассматривается тождественность структур.</w:t>
      </w:r>
    </w:p>
    <w:p w:rsidR="00D958A7" w:rsidRDefault="00D958A7" w:rsidP="00CA0BE9">
      <w:pPr>
        <w:pStyle w:val="2"/>
        <w:spacing w:after="0" w:line="240" w:lineRule="auto"/>
        <w:ind w:left="0" w:right="-142" w:firstLine="709"/>
        <w:jc w:val="both"/>
        <w:rPr>
          <w:sz w:val="28"/>
          <w:szCs w:val="28"/>
        </w:rPr>
      </w:pPr>
      <w:r>
        <w:rPr>
          <w:sz w:val="28"/>
          <w:szCs w:val="28"/>
        </w:rPr>
        <w:t>Бюджетное финансирование инвестиций осуществляется в рамках государственных и региональных инвестиционных программ. Федеральные целевые программы являются одним из самых эффективных инструментов воздействия государства на инвестиционную деятельность в стране и в конкретных регионах.</w:t>
      </w:r>
      <w:r w:rsidR="00391903">
        <w:rPr>
          <w:sz w:val="28"/>
          <w:szCs w:val="28"/>
        </w:rPr>
        <w:t xml:space="preserve"> На рисунке 2</w:t>
      </w:r>
      <w:r>
        <w:rPr>
          <w:sz w:val="28"/>
          <w:szCs w:val="28"/>
        </w:rPr>
        <w:t xml:space="preserve"> представлена структура распределения бюджетных средств по Федеральным округам Российской Федерации, что наглядно показывает нам, что наибольшая доля бюджетных средств приходится на Северо-Кавказский Федеральный округ.</w:t>
      </w:r>
    </w:p>
    <w:p w:rsidR="00DA2C42" w:rsidRDefault="00DA2C42" w:rsidP="007A474D">
      <w:pPr>
        <w:shd w:val="clear" w:color="auto" w:fill="FFFFFF"/>
        <w:ind w:firstLine="709"/>
        <w:jc w:val="both"/>
        <w:rPr>
          <w:rFonts w:ascii="Times New Roman" w:eastAsia="Times New Roman" w:hAnsi="Times New Roman" w:cs="Times New Roman"/>
          <w:sz w:val="28"/>
          <w:szCs w:val="28"/>
        </w:rPr>
      </w:pPr>
    </w:p>
    <w:bookmarkEnd w:id="3"/>
    <w:p w:rsidR="00D958A7" w:rsidRDefault="00D958A7" w:rsidP="00CA0BE9">
      <w:pPr>
        <w:rPr>
          <w:rFonts w:ascii="Times New Roman" w:eastAsia="Times New Roman" w:hAnsi="Times New Roman" w:cs="Times New Roman"/>
          <w:noProof/>
          <w:color w:val="auto"/>
          <w:sz w:val="28"/>
          <w:szCs w:val="28"/>
        </w:rPr>
      </w:pPr>
      <w:r>
        <w:rPr>
          <w:noProof/>
          <w:lang w:val="en-US" w:eastAsia="en-US"/>
        </w:rPr>
        <w:lastRenderedPageBreak/>
        <w:drawing>
          <wp:inline distT="0" distB="0" distL="0" distR="0" wp14:anchorId="26F35922" wp14:editId="60AF42EB">
            <wp:extent cx="6076950" cy="2743200"/>
            <wp:effectExtent l="0" t="0" r="0" b="0"/>
            <wp:docPr id="232" name="Диаграмма 232">
              <a:extLst xmlns:a="http://schemas.openxmlformats.org/drawingml/2006/main">
                <a:ext uri="{FF2B5EF4-FFF2-40B4-BE49-F238E27FC236}">
                  <a16:creationId xmlns:a16="http://schemas.microsoft.com/office/drawing/2014/main" id="{8483EB57-D7F2-442E-8034-D02215063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58A7" w:rsidRDefault="00D958A7" w:rsidP="00CA0BE9">
      <w:pPr>
        <w:jc w:val="center"/>
        <w:rPr>
          <w:rFonts w:ascii="Times New Roman" w:eastAsia="Times New Roman" w:hAnsi="Times New Roman" w:cs="Times New Roman"/>
          <w:noProof/>
          <w:color w:val="auto"/>
          <w:sz w:val="28"/>
          <w:szCs w:val="28"/>
        </w:rPr>
      </w:pPr>
      <w:r>
        <w:rPr>
          <w:rFonts w:ascii="Times New Roman" w:eastAsia="Times New Roman" w:hAnsi="Times New Roman" w:cs="Times New Roman"/>
          <w:noProof/>
          <w:color w:val="auto"/>
          <w:sz w:val="28"/>
          <w:szCs w:val="28"/>
        </w:rPr>
        <w:t xml:space="preserve">Рисунок </w:t>
      </w:r>
      <w:r w:rsidR="00391903">
        <w:rPr>
          <w:rFonts w:ascii="Times New Roman" w:eastAsia="Times New Roman" w:hAnsi="Times New Roman" w:cs="Times New Roman"/>
          <w:noProof/>
          <w:color w:val="auto"/>
          <w:sz w:val="28"/>
          <w:szCs w:val="28"/>
        </w:rPr>
        <w:t>2</w:t>
      </w:r>
      <w:r>
        <w:rPr>
          <w:rFonts w:ascii="Times New Roman" w:eastAsia="Times New Roman" w:hAnsi="Times New Roman" w:cs="Times New Roman"/>
          <w:noProof/>
          <w:color w:val="auto"/>
          <w:sz w:val="28"/>
          <w:szCs w:val="28"/>
        </w:rPr>
        <w:t xml:space="preserve"> – Структура распределения бюджетных средств по федеральным округам РФ, %</w:t>
      </w:r>
    </w:p>
    <w:p w:rsidR="00D958A7" w:rsidRDefault="00D958A7" w:rsidP="00CA0BE9">
      <w:pPr>
        <w:jc w:val="center"/>
        <w:rPr>
          <w:rFonts w:ascii="Times New Roman" w:eastAsia="Times New Roman" w:hAnsi="Times New Roman" w:cs="Times New Roman"/>
          <w:noProof/>
          <w:color w:val="auto"/>
          <w:sz w:val="28"/>
          <w:szCs w:val="28"/>
        </w:rPr>
      </w:pPr>
    </w:p>
    <w:p w:rsidR="00DA2C42" w:rsidRDefault="00DA2C42" w:rsidP="00DA2C42">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Государственное участие в финансировании инвестиционных проектов, в первую очередь, необходимо для тех проектов, которые имеют важное значение для развития экономики России. Такое участие осуществляется в рамках государственных бюджетных ассигнований на инвестиционные цели и в пределах государственных программ.</w:t>
      </w:r>
    </w:p>
    <w:p w:rsidR="00DA2C42" w:rsidRDefault="00DA2C42" w:rsidP="00DA2C42">
      <w:pPr>
        <w:ind w:firstLine="709"/>
        <w:jc w:val="both"/>
        <w:rPr>
          <w:rFonts w:ascii="Times New Roman" w:eastAsia="Times New Roman" w:hAnsi="Times New Roman" w:cs="Times New Roman"/>
          <w:noProof/>
          <w:color w:val="auto"/>
          <w:sz w:val="28"/>
          <w:szCs w:val="28"/>
        </w:rPr>
      </w:pPr>
      <w:r>
        <w:rPr>
          <w:rFonts w:ascii="Times New Roman" w:eastAsia="Times New Roman" w:hAnsi="Times New Roman" w:cs="Times New Roman"/>
          <w:noProof/>
          <w:color w:val="auto"/>
          <w:sz w:val="28"/>
          <w:szCs w:val="28"/>
        </w:rPr>
        <w:t>На рисунке 3 представлена динамика средств внебюджетных фондов за период 2005-2016 гг. На графике прослеживаются несколько значительных падений уровня данного показателя в 2009, 2011, 2014 гг. Внебюджетные инвестиционные фонды через субсидии финансируют деятельность государственных и частных копаний, деятельность которых имеет значимость для экономической мощи страны.</w:t>
      </w:r>
    </w:p>
    <w:p w:rsidR="00D958A7" w:rsidRDefault="00D958A7" w:rsidP="00CA0BE9">
      <w:pPr>
        <w:ind w:firstLine="709"/>
        <w:jc w:val="both"/>
        <w:rPr>
          <w:rFonts w:ascii="Times New Roman" w:eastAsia="Times New Roman" w:hAnsi="Times New Roman" w:cs="Times New Roman"/>
          <w:noProof/>
          <w:color w:val="auto"/>
          <w:sz w:val="28"/>
          <w:szCs w:val="28"/>
        </w:rPr>
      </w:pPr>
    </w:p>
    <w:p w:rsidR="00D958A7" w:rsidRDefault="00D958A7" w:rsidP="00CA0BE9">
      <w:pPr>
        <w:jc w:val="both"/>
        <w:rPr>
          <w:rFonts w:ascii="Times New Roman" w:eastAsia="Times New Roman" w:hAnsi="Times New Roman" w:cs="Times New Roman"/>
          <w:noProof/>
          <w:color w:val="auto"/>
          <w:sz w:val="28"/>
          <w:szCs w:val="28"/>
        </w:rPr>
      </w:pPr>
      <w:r>
        <w:rPr>
          <w:noProof/>
          <w:lang w:val="en-US" w:eastAsia="en-US"/>
        </w:rPr>
        <w:drawing>
          <wp:inline distT="0" distB="0" distL="0" distR="0" wp14:anchorId="76C42F95" wp14:editId="5F625559">
            <wp:extent cx="5986130" cy="2743200"/>
            <wp:effectExtent l="0" t="0" r="0" b="0"/>
            <wp:docPr id="73" name="Диаграмма 73">
              <a:extLst xmlns:a="http://schemas.openxmlformats.org/drawingml/2006/main">
                <a:ext uri="{FF2B5EF4-FFF2-40B4-BE49-F238E27FC236}">
                  <a16:creationId xmlns:a16="http://schemas.microsoft.com/office/drawing/2014/main" id="{E4EDE7E4-114A-441B-97D3-36A3BB81F2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58A7" w:rsidRPr="00C4588C" w:rsidRDefault="00D958A7" w:rsidP="00CA0BE9">
      <w:pPr>
        <w:jc w:val="center"/>
        <w:rPr>
          <w:rFonts w:ascii="Times New Roman" w:eastAsia="Times New Roman" w:hAnsi="Times New Roman" w:cs="Times New Roman"/>
          <w:noProof/>
          <w:color w:val="auto"/>
          <w:sz w:val="28"/>
          <w:szCs w:val="28"/>
        </w:rPr>
      </w:pPr>
      <w:r>
        <w:rPr>
          <w:rFonts w:ascii="Times New Roman" w:eastAsia="Times New Roman" w:hAnsi="Times New Roman" w:cs="Times New Roman"/>
          <w:noProof/>
          <w:color w:val="auto"/>
          <w:sz w:val="28"/>
          <w:szCs w:val="28"/>
        </w:rPr>
        <w:t xml:space="preserve">Рисунок </w:t>
      </w:r>
      <w:r w:rsidR="00391903">
        <w:rPr>
          <w:rFonts w:ascii="Times New Roman" w:eastAsia="Times New Roman" w:hAnsi="Times New Roman" w:cs="Times New Roman"/>
          <w:noProof/>
          <w:color w:val="auto"/>
          <w:sz w:val="28"/>
          <w:szCs w:val="28"/>
        </w:rPr>
        <w:t>3</w:t>
      </w:r>
      <w:r>
        <w:rPr>
          <w:rFonts w:ascii="Times New Roman" w:eastAsia="Times New Roman" w:hAnsi="Times New Roman" w:cs="Times New Roman"/>
          <w:noProof/>
          <w:color w:val="auto"/>
          <w:sz w:val="28"/>
          <w:szCs w:val="28"/>
        </w:rPr>
        <w:t xml:space="preserve"> – </w:t>
      </w:r>
      <w:r w:rsidRPr="00C4588C">
        <w:rPr>
          <w:rFonts w:ascii="Times New Roman" w:eastAsia="Times New Roman" w:hAnsi="Times New Roman" w:cs="Times New Roman"/>
          <w:noProof/>
          <w:color w:val="auto"/>
          <w:sz w:val="28"/>
          <w:szCs w:val="28"/>
        </w:rPr>
        <w:t>Динамика средств внебюджетных фондов, млн.руб.</w:t>
      </w:r>
    </w:p>
    <w:p w:rsidR="00DA2C42" w:rsidRDefault="00DA2C42" w:rsidP="00DA2C42">
      <w:pPr>
        <w:ind w:firstLine="709"/>
        <w:jc w:val="both"/>
        <w:rPr>
          <w:rFonts w:ascii="Times New Roman" w:eastAsia="Times New Roman" w:hAnsi="Times New Roman" w:cs="Times New Roman"/>
          <w:noProof/>
          <w:color w:val="auto"/>
          <w:sz w:val="28"/>
          <w:szCs w:val="28"/>
        </w:rPr>
      </w:pPr>
      <w:r w:rsidRPr="00C4588C">
        <w:rPr>
          <w:rFonts w:ascii="Times New Roman" w:eastAsia="Times New Roman" w:hAnsi="Times New Roman" w:cs="Times New Roman"/>
          <w:noProof/>
          <w:color w:val="auto"/>
          <w:sz w:val="28"/>
          <w:szCs w:val="28"/>
        </w:rPr>
        <w:lastRenderedPageBreak/>
        <w:t xml:space="preserve">Таким образом </w:t>
      </w:r>
      <w:r>
        <w:rPr>
          <w:rFonts w:ascii="Times New Roman" w:hAnsi="Times New Roman" w:cs="Times New Roman"/>
          <w:noProof/>
          <w:sz w:val="28"/>
          <w:szCs w:val="28"/>
        </w:rPr>
        <w:t>м</w:t>
      </w:r>
      <w:r w:rsidRPr="00C4588C">
        <w:rPr>
          <w:rFonts w:ascii="Times New Roman" w:hAnsi="Times New Roman" w:cs="Times New Roman"/>
          <w:noProof/>
          <w:sz w:val="28"/>
          <w:szCs w:val="28"/>
        </w:rPr>
        <w:t>ожно сделать вывод, что основным источником (более 50 %) в период с 2001</w:t>
      </w:r>
      <w:r w:rsidRPr="0047449E">
        <w:rPr>
          <w:rFonts w:ascii="Times New Roman" w:hAnsi="Times New Roman" w:cs="Times New Roman"/>
          <w:noProof/>
          <w:sz w:val="28"/>
          <w:szCs w:val="28"/>
        </w:rPr>
        <w:t xml:space="preserve"> г. по 2014 г. были привлеченные средства, однако в 2015 г. больший удельный вес имели собственные источники финансирования, которые равнялись 5260,3 млрд. руб.</w:t>
      </w:r>
      <w:r>
        <w:rPr>
          <w:rFonts w:ascii="Times New Roman" w:hAnsi="Times New Roman" w:cs="Times New Roman"/>
          <w:noProof/>
          <w:sz w:val="28"/>
          <w:szCs w:val="28"/>
        </w:rPr>
        <w:t xml:space="preserve"> За период с 2005 по 2015 гг. </w:t>
      </w:r>
      <w:r w:rsidRPr="00A06D8D">
        <w:rPr>
          <w:rFonts w:ascii="Times New Roman" w:hAnsi="Times New Roman" w:cs="Times New Roman"/>
          <w:noProof/>
          <w:sz w:val="28"/>
          <w:szCs w:val="28"/>
        </w:rPr>
        <w:t xml:space="preserve">произошли незначительные изменения в структуре распределения собственных и привлеченных средств </w:t>
      </w:r>
      <w:r>
        <w:rPr>
          <w:rFonts w:ascii="Times New Roman" w:hAnsi="Times New Roman" w:cs="Times New Roman"/>
          <w:noProof/>
          <w:sz w:val="28"/>
          <w:szCs w:val="28"/>
        </w:rPr>
        <w:t>по регионам РФ.</w:t>
      </w:r>
      <w:r w:rsidRPr="00C4588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за период с 2005 по 2015 года существенно изменилась структура распределения собственных средств субъектов РФ, чего не скажешь о привлеченных средствах.</w:t>
      </w:r>
    </w:p>
    <w:p w:rsidR="00391903" w:rsidRDefault="005027B0" w:rsidP="00CA0BE9">
      <w:pPr>
        <w:pStyle w:val="70"/>
        <w:shd w:val="clear" w:color="auto" w:fill="auto"/>
        <w:tabs>
          <w:tab w:val="right" w:pos="0"/>
          <w:tab w:val="right" w:pos="426"/>
          <w:tab w:val="right" w:pos="9356"/>
        </w:tabs>
        <w:spacing w:line="240" w:lineRule="auto"/>
        <w:ind w:firstLine="709"/>
        <w:rPr>
          <w:rFonts w:cs="Times New Roman"/>
          <w:sz w:val="28"/>
          <w:szCs w:val="28"/>
        </w:rPr>
      </w:pPr>
      <w:r>
        <w:rPr>
          <w:rFonts w:cs="Times New Roman"/>
          <w:sz w:val="28"/>
          <w:szCs w:val="28"/>
        </w:rPr>
        <w:t xml:space="preserve">Таким образом, проанализировав основные показатели инвестиционной деятельности и структуру финансирования, мы пришли к выводу, что необходимо совершенствовать процедуры финансирования инвестиционных процессов при переходе к цифровой экономике. В частности, для начала, необходимо отобрать наиболее перспективные направления инвестирования, а также найти точки соприкосновения государства, бизнеса и научного сообщества. </w:t>
      </w:r>
      <w:r w:rsidR="006E00C1">
        <w:rPr>
          <w:rFonts w:cs="Times New Roman"/>
          <w:sz w:val="28"/>
          <w:szCs w:val="28"/>
        </w:rPr>
        <w:t>На наш взгляд, с</w:t>
      </w:r>
      <w:r w:rsidR="006E00C1">
        <w:rPr>
          <w:rFonts w:cs="Times New Roman"/>
          <w:sz w:val="28"/>
          <w:szCs w:val="28"/>
        </w:rPr>
        <w:t>истема выбранных государством приоритетов и показателей позволит потенциальным инвесторам облегчить процесс выбора будущих инвестиционных проектов и программ, которые позволят добиться более значимых результатов в области развития цифровой экономики и создания высоких технологий.</w:t>
      </w:r>
      <w:r w:rsidR="006E00C1">
        <w:rPr>
          <w:rFonts w:cs="Times New Roman"/>
          <w:sz w:val="28"/>
          <w:szCs w:val="28"/>
        </w:rPr>
        <w:t xml:space="preserve"> </w:t>
      </w:r>
    </w:p>
    <w:p w:rsidR="005027B0" w:rsidRDefault="005027B0" w:rsidP="00CA0BE9">
      <w:pPr>
        <w:pStyle w:val="70"/>
        <w:shd w:val="clear" w:color="auto" w:fill="auto"/>
        <w:tabs>
          <w:tab w:val="right" w:pos="0"/>
          <w:tab w:val="right" w:pos="426"/>
          <w:tab w:val="right" w:pos="9356"/>
        </w:tabs>
        <w:spacing w:line="240" w:lineRule="auto"/>
        <w:ind w:firstLine="709"/>
        <w:rPr>
          <w:color w:val="000000"/>
          <w:sz w:val="28"/>
          <w:szCs w:val="28"/>
        </w:rPr>
      </w:pPr>
    </w:p>
    <w:p w:rsidR="007A474D" w:rsidRDefault="007A474D" w:rsidP="007A474D">
      <w:pPr>
        <w:pStyle w:val="70"/>
        <w:shd w:val="clear" w:color="auto" w:fill="auto"/>
        <w:tabs>
          <w:tab w:val="right" w:pos="0"/>
          <w:tab w:val="right" w:pos="426"/>
          <w:tab w:val="right" w:pos="9356"/>
        </w:tabs>
        <w:spacing w:line="240" w:lineRule="auto"/>
        <w:ind w:firstLine="709"/>
        <w:jc w:val="center"/>
        <w:rPr>
          <w:b/>
          <w:color w:val="000000"/>
          <w:sz w:val="28"/>
          <w:szCs w:val="28"/>
        </w:rPr>
      </w:pPr>
      <w:r w:rsidRPr="007A474D">
        <w:rPr>
          <w:b/>
          <w:color w:val="000000"/>
          <w:sz w:val="28"/>
          <w:szCs w:val="28"/>
        </w:rPr>
        <w:t>Библиографический список</w:t>
      </w:r>
    </w:p>
    <w:p w:rsidR="007A474D" w:rsidRDefault="007A474D" w:rsidP="007A474D">
      <w:pPr>
        <w:pStyle w:val="70"/>
        <w:shd w:val="clear" w:color="auto" w:fill="auto"/>
        <w:tabs>
          <w:tab w:val="right" w:pos="0"/>
          <w:tab w:val="right" w:pos="426"/>
          <w:tab w:val="right" w:pos="9356"/>
        </w:tabs>
        <w:spacing w:line="240" w:lineRule="auto"/>
        <w:ind w:firstLine="709"/>
        <w:jc w:val="center"/>
        <w:rPr>
          <w:b/>
          <w:color w:val="000000"/>
          <w:sz w:val="28"/>
          <w:szCs w:val="28"/>
        </w:rPr>
      </w:pPr>
    </w:p>
    <w:p w:rsidR="00092730" w:rsidRPr="00092730" w:rsidRDefault="00092730" w:rsidP="00092730">
      <w:pPr>
        <w:pStyle w:val="a5"/>
        <w:numPr>
          <w:ilvl w:val="0"/>
          <w:numId w:val="1"/>
        </w:numPr>
        <w:tabs>
          <w:tab w:val="left" w:pos="993"/>
        </w:tabs>
        <w:spacing w:after="0" w:line="240" w:lineRule="auto"/>
        <w:ind w:left="0" w:firstLine="709"/>
        <w:jc w:val="both"/>
        <w:rPr>
          <w:rFonts w:ascii="Times New Roman" w:hAnsi="Times New Roman"/>
          <w:color w:val="000000"/>
          <w:sz w:val="28"/>
          <w:szCs w:val="28"/>
        </w:rPr>
      </w:pPr>
      <w:r w:rsidRPr="00092730">
        <w:rPr>
          <w:rFonts w:ascii="Times New Roman" w:hAnsi="Times New Roman"/>
          <w:sz w:val="28"/>
          <w:szCs w:val="28"/>
        </w:rPr>
        <w:t>Алексеев, В.Н. Инвестиционный климат и международный финансовый центр в Москве: тенденции и перспективы / под ред. В.Н. Алексеева, В.В. Ильина. – М.: ИНФРА–М, 2012. – 126 с</w:t>
      </w:r>
      <w:r w:rsidRPr="00092730">
        <w:rPr>
          <w:rFonts w:ascii="Times New Roman" w:hAnsi="Times New Roman"/>
          <w:sz w:val="28"/>
          <w:szCs w:val="28"/>
        </w:rPr>
        <w:t>.</w:t>
      </w:r>
    </w:p>
    <w:p w:rsidR="007A474D" w:rsidRPr="00092730" w:rsidRDefault="00092730" w:rsidP="00092730">
      <w:pPr>
        <w:pStyle w:val="a5"/>
        <w:numPr>
          <w:ilvl w:val="0"/>
          <w:numId w:val="1"/>
        </w:numPr>
        <w:tabs>
          <w:tab w:val="left" w:pos="993"/>
        </w:tabs>
        <w:spacing w:after="0" w:line="240" w:lineRule="auto"/>
        <w:ind w:left="0" w:firstLine="709"/>
        <w:jc w:val="both"/>
        <w:rPr>
          <w:rFonts w:ascii="Times New Roman" w:hAnsi="Times New Roman"/>
          <w:sz w:val="28"/>
          <w:szCs w:val="28"/>
        </w:rPr>
      </w:pPr>
      <w:r w:rsidRPr="00092730">
        <w:rPr>
          <w:rFonts w:ascii="Times New Roman" w:hAnsi="Times New Roman"/>
          <w:sz w:val="28"/>
          <w:szCs w:val="28"/>
        </w:rPr>
        <w:t xml:space="preserve"> </w:t>
      </w:r>
      <w:r w:rsidRPr="00092730">
        <w:rPr>
          <w:rFonts w:ascii="Times New Roman" w:hAnsi="Times New Roman"/>
          <w:sz w:val="28"/>
          <w:szCs w:val="28"/>
        </w:rPr>
        <w:t>Общая теория статистики: статистическая методология в изучении коммерческой деятельности / под редакцией О. Э. Башиной и А. А. Спирина. – 5-е изд., доп. и перераб. – Москва, 2005</w:t>
      </w:r>
      <w:r w:rsidRPr="00092730">
        <w:rPr>
          <w:rFonts w:ascii="Times New Roman" w:hAnsi="Times New Roman"/>
          <w:sz w:val="28"/>
          <w:szCs w:val="28"/>
        </w:rPr>
        <w:t>.</w:t>
      </w:r>
    </w:p>
    <w:p w:rsidR="00092730" w:rsidRDefault="00092730" w:rsidP="00092730">
      <w:pPr>
        <w:pStyle w:val="a5"/>
        <w:numPr>
          <w:ilvl w:val="0"/>
          <w:numId w:val="1"/>
        </w:numPr>
        <w:tabs>
          <w:tab w:val="left" w:pos="993"/>
        </w:tabs>
        <w:spacing w:after="0" w:line="240" w:lineRule="auto"/>
        <w:ind w:left="0" w:firstLine="709"/>
        <w:jc w:val="both"/>
        <w:rPr>
          <w:rFonts w:ascii="Times New Roman" w:hAnsi="Times New Roman"/>
          <w:sz w:val="28"/>
          <w:szCs w:val="28"/>
        </w:rPr>
      </w:pPr>
      <w:r w:rsidRPr="009C78FE">
        <w:rPr>
          <w:rFonts w:ascii="Times New Roman" w:hAnsi="Times New Roman"/>
          <w:noProof/>
          <w:sz w:val="28"/>
          <w:szCs w:val="28"/>
          <w:lang w:eastAsia="ru-RU"/>
        </w:rPr>
        <w:t>Регионы России. Социально–экономические показатели. 2015</w:t>
      </w:r>
      <w:r>
        <w:rPr>
          <w:rFonts w:ascii="Times New Roman" w:hAnsi="Times New Roman"/>
          <w:noProof/>
          <w:sz w:val="28"/>
          <w:szCs w:val="28"/>
          <w:lang w:eastAsia="ru-RU"/>
        </w:rPr>
        <w:t>: стат. сб. / Росстат. – М., 2015</w:t>
      </w:r>
      <w:r>
        <w:rPr>
          <w:rFonts w:ascii="Times New Roman" w:hAnsi="Times New Roman"/>
          <w:noProof/>
          <w:sz w:val="28"/>
          <w:szCs w:val="28"/>
          <w:lang w:eastAsia="ru-RU"/>
        </w:rPr>
        <w:t>.</w:t>
      </w:r>
    </w:p>
    <w:p w:rsidR="00092730" w:rsidRDefault="00092730" w:rsidP="00092730">
      <w:pPr>
        <w:pStyle w:val="a5"/>
        <w:numPr>
          <w:ilvl w:val="0"/>
          <w:numId w:val="1"/>
        </w:numPr>
        <w:tabs>
          <w:tab w:val="left" w:pos="993"/>
        </w:tabs>
        <w:spacing w:after="0" w:line="240" w:lineRule="auto"/>
        <w:ind w:left="0" w:firstLine="709"/>
        <w:jc w:val="both"/>
        <w:rPr>
          <w:rFonts w:ascii="Times New Roman" w:hAnsi="Times New Roman"/>
          <w:sz w:val="28"/>
          <w:szCs w:val="28"/>
        </w:rPr>
      </w:pPr>
      <w:r w:rsidRPr="009C78FE">
        <w:rPr>
          <w:rFonts w:ascii="Times New Roman" w:hAnsi="Times New Roman"/>
          <w:sz w:val="28"/>
          <w:szCs w:val="28"/>
        </w:rPr>
        <w:t>Сибирская</w:t>
      </w:r>
      <w:r>
        <w:rPr>
          <w:rFonts w:ascii="Times New Roman" w:hAnsi="Times New Roman"/>
          <w:sz w:val="28"/>
          <w:szCs w:val="28"/>
        </w:rPr>
        <w:t>,</w:t>
      </w:r>
      <w:r w:rsidRPr="009C78FE">
        <w:rPr>
          <w:rFonts w:ascii="Times New Roman" w:hAnsi="Times New Roman"/>
          <w:sz w:val="28"/>
          <w:szCs w:val="28"/>
        </w:rPr>
        <w:t xml:space="preserve"> Е.В., Овешникова</w:t>
      </w:r>
      <w:r>
        <w:rPr>
          <w:rFonts w:ascii="Times New Roman" w:hAnsi="Times New Roman"/>
          <w:sz w:val="28"/>
          <w:szCs w:val="28"/>
        </w:rPr>
        <w:t>,</w:t>
      </w:r>
      <w:r w:rsidRPr="009C78FE">
        <w:rPr>
          <w:rFonts w:ascii="Times New Roman" w:hAnsi="Times New Roman"/>
          <w:sz w:val="28"/>
          <w:szCs w:val="28"/>
        </w:rPr>
        <w:t xml:space="preserve"> Л.В., Михейкина</w:t>
      </w:r>
      <w:r>
        <w:rPr>
          <w:rFonts w:ascii="Times New Roman" w:hAnsi="Times New Roman"/>
          <w:sz w:val="28"/>
          <w:szCs w:val="28"/>
        </w:rPr>
        <w:t>,</w:t>
      </w:r>
      <w:r w:rsidRPr="009C78FE">
        <w:rPr>
          <w:rFonts w:ascii="Times New Roman" w:hAnsi="Times New Roman"/>
          <w:sz w:val="28"/>
          <w:szCs w:val="28"/>
        </w:rPr>
        <w:t xml:space="preserve"> Л.А., Безруков</w:t>
      </w:r>
      <w:r>
        <w:rPr>
          <w:rFonts w:ascii="Times New Roman" w:hAnsi="Times New Roman"/>
          <w:sz w:val="28"/>
          <w:szCs w:val="28"/>
        </w:rPr>
        <w:t>,</w:t>
      </w:r>
      <w:r w:rsidRPr="009C78FE">
        <w:rPr>
          <w:rFonts w:ascii="Times New Roman" w:hAnsi="Times New Roman"/>
          <w:sz w:val="28"/>
          <w:szCs w:val="28"/>
        </w:rPr>
        <w:t xml:space="preserve"> А.В., Григорьева</w:t>
      </w:r>
      <w:r>
        <w:rPr>
          <w:rFonts w:ascii="Times New Roman" w:hAnsi="Times New Roman"/>
          <w:sz w:val="28"/>
          <w:szCs w:val="28"/>
        </w:rPr>
        <w:t>,</w:t>
      </w:r>
      <w:r w:rsidRPr="009C78FE">
        <w:rPr>
          <w:rFonts w:ascii="Times New Roman" w:hAnsi="Times New Roman"/>
          <w:sz w:val="28"/>
          <w:szCs w:val="28"/>
        </w:rPr>
        <w:t xml:space="preserve"> М.А. Статистический анализ инвестиционной деятельности национальной экономики // Экономика и предпринимательство. </w:t>
      </w:r>
      <w:r>
        <w:rPr>
          <w:rFonts w:ascii="Times New Roman" w:hAnsi="Times New Roman"/>
          <w:sz w:val="28"/>
          <w:szCs w:val="28"/>
        </w:rPr>
        <w:t xml:space="preserve">– </w:t>
      </w:r>
      <w:r w:rsidRPr="009C78FE">
        <w:rPr>
          <w:rFonts w:ascii="Times New Roman" w:hAnsi="Times New Roman"/>
          <w:sz w:val="28"/>
          <w:szCs w:val="28"/>
        </w:rPr>
        <w:t xml:space="preserve">2016. </w:t>
      </w:r>
      <w:r>
        <w:rPr>
          <w:rFonts w:ascii="Times New Roman" w:hAnsi="Times New Roman"/>
          <w:sz w:val="28"/>
          <w:szCs w:val="28"/>
        </w:rPr>
        <w:t xml:space="preserve">– </w:t>
      </w:r>
      <w:r w:rsidRPr="009C78FE">
        <w:rPr>
          <w:rFonts w:ascii="Times New Roman" w:hAnsi="Times New Roman"/>
          <w:sz w:val="28"/>
          <w:szCs w:val="28"/>
        </w:rPr>
        <w:t xml:space="preserve">№ 10 (ч. 2). </w:t>
      </w:r>
      <w:r>
        <w:rPr>
          <w:rFonts w:ascii="Times New Roman" w:hAnsi="Times New Roman"/>
          <w:sz w:val="28"/>
          <w:szCs w:val="28"/>
        </w:rPr>
        <w:t xml:space="preserve">– </w:t>
      </w:r>
      <w:r w:rsidRPr="009C78FE">
        <w:rPr>
          <w:rFonts w:ascii="Times New Roman" w:hAnsi="Times New Roman"/>
          <w:sz w:val="28"/>
          <w:szCs w:val="28"/>
        </w:rPr>
        <w:t>С. 760-765</w:t>
      </w:r>
      <w:r>
        <w:rPr>
          <w:rFonts w:ascii="Times New Roman" w:hAnsi="Times New Roman"/>
          <w:sz w:val="28"/>
          <w:szCs w:val="28"/>
        </w:rPr>
        <w:t>.</w:t>
      </w:r>
    </w:p>
    <w:p w:rsidR="00092730" w:rsidRDefault="00092730" w:rsidP="00092730">
      <w:pPr>
        <w:pStyle w:val="a5"/>
        <w:numPr>
          <w:ilvl w:val="0"/>
          <w:numId w:val="1"/>
        </w:numPr>
        <w:tabs>
          <w:tab w:val="left" w:pos="993"/>
        </w:tabs>
        <w:spacing w:after="0" w:line="240" w:lineRule="auto"/>
        <w:ind w:left="0" w:firstLine="709"/>
        <w:jc w:val="both"/>
        <w:rPr>
          <w:rFonts w:ascii="Times New Roman" w:hAnsi="Times New Roman"/>
          <w:sz w:val="28"/>
          <w:szCs w:val="28"/>
        </w:rPr>
      </w:pPr>
      <w:r w:rsidRPr="009C78FE">
        <w:rPr>
          <w:rFonts w:ascii="Times New Roman" w:hAnsi="Times New Roman"/>
          <w:sz w:val="28"/>
          <w:szCs w:val="28"/>
        </w:rPr>
        <w:t xml:space="preserve">Федеральная служба государственной статистики [Электронный ресурс]. – Режим доступа: </w:t>
      </w:r>
      <w:r w:rsidRPr="00092730">
        <w:rPr>
          <w:rFonts w:ascii="Times New Roman" w:hAnsi="Times New Roman"/>
          <w:sz w:val="28"/>
          <w:szCs w:val="28"/>
        </w:rPr>
        <w:t>http://</w:t>
      </w:r>
      <w:r w:rsidRPr="00092730">
        <w:rPr>
          <w:rFonts w:ascii="Times New Roman" w:hAnsi="Times New Roman"/>
          <w:sz w:val="28"/>
          <w:szCs w:val="28"/>
          <w:lang w:val="en-US"/>
        </w:rPr>
        <w:t>www</w:t>
      </w:r>
      <w:r w:rsidRPr="00092730">
        <w:rPr>
          <w:rFonts w:ascii="Times New Roman" w:hAnsi="Times New Roman"/>
          <w:sz w:val="28"/>
          <w:szCs w:val="28"/>
        </w:rPr>
        <w:t>.</w:t>
      </w:r>
      <w:r w:rsidRPr="00092730">
        <w:rPr>
          <w:rFonts w:ascii="Times New Roman" w:hAnsi="Times New Roman"/>
          <w:sz w:val="28"/>
          <w:szCs w:val="28"/>
          <w:lang w:val="en-US"/>
        </w:rPr>
        <w:t>gks</w:t>
      </w:r>
      <w:r w:rsidRPr="00092730">
        <w:rPr>
          <w:rFonts w:ascii="Times New Roman" w:hAnsi="Times New Roman"/>
          <w:sz w:val="28"/>
          <w:szCs w:val="28"/>
        </w:rPr>
        <w:t>.</w:t>
      </w:r>
      <w:r w:rsidRPr="00092730">
        <w:rPr>
          <w:rFonts w:ascii="Times New Roman" w:hAnsi="Times New Roman"/>
          <w:sz w:val="28"/>
          <w:szCs w:val="28"/>
          <w:lang w:val="en-US"/>
        </w:rPr>
        <w:t>ru</w:t>
      </w:r>
      <w:r w:rsidRPr="00092730">
        <w:rPr>
          <w:rFonts w:ascii="Times New Roman" w:hAnsi="Times New Roman"/>
          <w:sz w:val="28"/>
          <w:szCs w:val="28"/>
        </w:rPr>
        <w:t>.</w:t>
      </w:r>
    </w:p>
    <w:p w:rsidR="00092730" w:rsidRDefault="00092730" w:rsidP="00092730">
      <w:pPr>
        <w:tabs>
          <w:tab w:val="left" w:pos="993"/>
        </w:tabs>
        <w:jc w:val="both"/>
        <w:rPr>
          <w:rFonts w:ascii="Times New Roman" w:hAnsi="Times New Roman"/>
          <w:sz w:val="28"/>
          <w:szCs w:val="28"/>
        </w:rPr>
      </w:pPr>
    </w:p>
    <w:p w:rsidR="00092730" w:rsidRDefault="00092730" w:rsidP="00092730">
      <w:pPr>
        <w:tabs>
          <w:tab w:val="left" w:pos="993"/>
        </w:tabs>
        <w:jc w:val="center"/>
        <w:rPr>
          <w:rFonts w:ascii="Times New Roman" w:hAnsi="Times New Roman"/>
          <w:b/>
          <w:sz w:val="28"/>
          <w:szCs w:val="28"/>
          <w:lang w:val="en-US"/>
        </w:rPr>
      </w:pPr>
      <w:r w:rsidRPr="00092730">
        <w:rPr>
          <w:rFonts w:ascii="Times New Roman" w:hAnsi="Times New Roman"/>
          <w:b/>
          <w:sz w:val="28"/>
          <w:szCs w:val="28"/>
          <w:lang w:val="en-US"/>
        </w:rPr>
        <w:t>References</w:t>
      </w:r>
    </w:p>
    <w:p w:rsidR="00092730" w:rsidRDefault="00092730" w:rsidP="00092730">
      <w:pPr>
        <w:tabs>
          <w:tab w:val="left" w:pos="993"/>
        </w:tabs>
        <w:jc w:val="center"/>
        <w:rPr>
          <w:rFonts w:ascii="Times New Roman" w:hAnsi="Times New Roman"/>
          <w:b/>
          <w:sz w:val="28"/>
          <w:szCs w:val="28"/>
          <w:lang w:val="en-US"/>
        </w:rPr>
      </w:pPr>
    </w:p>
    <w:p w:rsidR="00092730" w:rsidRPr="00092730" w:rsidRDefault="00092730" w:rsidP="00092730">
      <w:pPr>
        <w:tabs>
          <w:tab w:val="left" w:pos="993"/>
        </w:tabs>
        <w:ind w:firstLine="709"/>
        <w:jc w:val="both"/>
        <w:rPr>
          <w:rFonts w:ascii="Times New Roman" w:hAnsi="Times New Roman"/>
          <w:sz w:val="28"/>
          <w:szCs w:val="28"/>
          <w:lang w:val="en-US"/>
        </w:rPr>
      </w:pPr>
      <w:r w:rsidRPr="00092730">
        <w:rPr>
          <w:rFonts w:ascii="Times New Roman" w:hAnsi="Times New Roman"/>
          <w:sz w:val="28"/>
          <w:szCs w:val="28"/>
          <w:lang w:val="en-US"/>
        </w:rPr>
        <w:t>1. Alekseev, V.N. Investment climate and the international financial center in Moscow: tendencies and prospects / under the editorship of V.N. Alekseev, V.V. Ilyin. – M.: INFRA-M, 2012. – 126 pages.</w:t>
      </w:r>
    </w:p>
    <w:p w:rsidR="00092730" w:rsidRPr="00092730" w:rsidRDefault="00092730" w:rsidP="00092730">
      <w:pPr>
        <w:tabs>
          <w:tab w:val="left" w:pos="993"/>
        </w:tabs>
        <w:ind w:firstLine="709"/>
        <w:jc w:val="both"/>
        <w:rPr>
          <w:rFonts w:ascii="Times New Roman" w:hAnsi="Times New Roman"/>
          <w:sz w:val="28"/>
          <w:szCs w:val="28"/>
          <w:lang w:val="en-US"/>
        </w:rPr>
      </w:pPr>
      <w:r w:rsidRPr="00092730">
        <w:rPr>
          <w:rFonts w:ascii="Times New Roman" w:hAnsi="Times New Roman"/>
          <w:sz w:val="28"/>
          <w:szCs w:val="28"/>
          <w:lang w:val="en-US"/>
        </w:rPr>
        <w:lastRenderedPageBreak/>
        <w:t>2. General theory of statistics: statistical methodology in studying of commercial activity / under O.E. Bashina and A.A. Spirin's edition. – 5th prod., additional and reslave. – Moscow, 2005.</w:t>
      </w:r>
    </w:p>
    <w:p w:rsidR="00092730" w:rsidRPr="00092730" w:rsidRDefault="00092730" w:rsidP="00092730">
      <w:pPr>
        <w:tabs>
          <w:tab w:val="left" w:pos="993"/>
        </w:tabs>
        <w:ind w:firstLine="709"/>
        <w:jc w:val="both"/>
        <w:rPr>
          <w:rFonts w:ascii="Times New Roman" w:hAnsi="Times New Roman"/>
          <w:sz w:val="28"/>
          <w:szCs w:val="28"/>
          <w:lang w:val="en-US"/>
        </w:rPr>
      </w:pPr>
      <w:r w:rsidRPr="00092730">
        <w:rPr>
          <w:rFonts w:ascii="Times New Roman" w:hAnsi="Times New Roman"/>
          <w:sz w:val="28"/>
          <w:szCs w:val="28"/>
          <w:lang w:val="en-US"/>
        </w:rPr>
        <w:t>3. Regions of Russia. Socio-economic indexes. 2015: statistical journal / Federal State Statistics Service. – M, 2015.</w:t>
      </w:r>
    </w:p>
    <w:p w:rsidR="00092730" w:rsidRPr="00092730" w:rsidRDefault="00092730" w:rsidP="00092730">
      <w:pPr>
        <w:tabs>
          <w:tab w:val="left" w:pos="993"/>
        </w:tabs>
        <w:ind w:firstLine="709"/>
        <w:jc w:val="both"/>
        <w:rPr>
          <w:rFonts w:ascii="Times New Roman" w:hAnsi="Times New Roman"/>
          <w:sz w:val="28"/>
          <w:szCs w:val="28"/>
          <w:lang w:val="en-US"/>
        </w:rPr>
      </w:pPr>
      <w:r w:rsidRPr="00092730">
        <w:rPr>
          <w:rFonts w:ascii="Times New Roman" w:hAnsi="Times New Roman"/>
          <w:sz w:val="28"/>
          <w:szCs w:val="28"/>
          <w:lang w:val="en-US"/>
        </w:rPr>
        <w:t>4. Sibirskaya, E.V., Oveshnikova, L.V., Mikheykina, L.A., Bezrukov, A.V., Grigorieva, M.A. Statistical analysis of investment activities of national economy//Economy and business. – 2016. – No. 10 (p. 2). – Page 760-765.</w:t>
      </w:r>
    </w:p>
    <w:p w:rsidR="00092730" w:rsidRDefault="00092730" w:rsidP="00092730">
      <w:pPr>
        <w:tabs>
          <w:tab w:val="left" w:pos="993"/>
        </w:tabs>
        <w:ind w:firstLine="709"/>
        <w:jc w:val="both"/>
        <w:rPr>
          <w:rFonts w:ascii="Times New Roman" w:hAnsi="Times New Roman"/>
          <w:sz w:val="28"/>
          <w:szCs w:val="28"/>
          <w:lang w:val="en-US"/>
        </w:rPr>
      </w:pPr>
      <w:r w:rsidRPr="00092730">
        <w:rPr>
          <w:rFonts w:ascii="Times New Roman" w:hAnsi="Times New Roman"/>
          <w:sz w:val="28"/>
          <w:szCs w:val="28"/>
          <w:lang w:val="en-US"/>
        </w:rPr>
        <w:t xml:space="preserve">5. Federal State Statistics Service [An electronic resource]. – Access mode: </w:t>
      </w:r>
      <w:r w:rsidR="00E71EAA" w:rsidRPr="00E71EAA">
        <w:rPr>
          <w:rFonts w:ascii="Times New Roman" w:hAnsi="Times New Roman"/>
          <w:sz w:val="28"/>
          <w:szCs w:val="28"/>
          <w:lang w:val="en-US"/>
        </w:rPr>
        <w:t>http://www.gks.ru</w:t>
      </w:r>
      <w:r w:rsidRPr="00092730">
        <w:rPr>
          <w:rFonts w:ascii="Times New Roman" w:hAnsi="Times New Roman"/>
          <w:sz w:val="28"/>
          <w:szCs w:val="28"/>
          <w:lang w:val="en-US"/>
        </w:rPr>
        <w:t>.</w:t>
      </w:r>
    </w:p>
    <w:p w:rsidR="00E71EAA" w:rsidRDefault="00E71EAA" w:rsidP="00092730">
      <w:pPr>
        <w:tabs>
          <w:tab w:val="left" w:pos="993"/>
        </w:tabs>
        <w:ind w:firstLine="709"/>
        <w:jc w:val="both"/>
        <w:rPr>
          <w:rFonts w:ascii="Times New Roman" w:hAnsi="Times New Roman"/>
          <w:sz w:val="28"/>
          <w:szCs w:val="28"/>
          <w:lang w:val="en-US"/>
        </w:rPr>
      </w:pPr>
    </w:p>
    <w:p w:rsidR="00E71EAA" w:rsidRDefault="00E71EAA" w:rsidP="00092730">
      <w:pPr>
        <w:tabs>
          <w:tab w:val="left" w:pos="993"/>
        </w:tabs>
        <w:ind w:firstLine="709"/>
        <w:jc w:val="both"/>
        <w:rPr>
          <w:rFonts w:ascii="Times New Roman" w:hAnsi="Times New Roman"/>
          <w:sz w:val="28"/>
          <w:szCs w:val="28"/>
          <w:lang w:val="en-US"/>
        </w:rPr>
      </w:pPr>
    </w:p>
    <w:p w:rsidR="00E71EAA" w:rsidRDefault="00E71EAA" w:rsidP="00E71EAA">
      <w:pPr>
        <w:tabs>
          <w:tab w:val="left" w:pos="993"/>
        </w:tabs>
        <w:ind w:firstLine="709"/>
        <w:jc w:val="right"/>
        <w:rPr>
          <w:rFonts w:ascii="Times New Roman" w:hAnsi="Times New Roman"/>
          <w:sz w:val="28"/>
          <w:szCs w:val="28"/>
        </w:rPr>
      </w:pPr>
      <w:r>
        <w:rPr>
          <w:rFonts w:ascii="Times New Roman" w:hAnsi="Times New Roman"/>
          <w:sz w:val="28"/>
          <w:szCs w:val="28"/>
        </w:rPr>
        <w:t>Статья публикуется впервые</w:t>
      </w:r>
    </w:p>
    <w:p w:rsidR="00E71EAA" w:rsidRDefault="00E71EAA" w:rsidP="00E71EAA">
      <w:pPr>
        <w:tabs>
          <w:tab w:val="left" w:pos="993"/>
        </w:tabs>
        <w:ind w:firstLine="709"/>
        <w:jc w:val="right"/>
        <w:rPr>
          <w:rFonts w:ascii="Times New Roman" w:hAnsi="Times New Roman"/>
          <w:sz w:val="28"/>
          <w:szCs w:val="28"/>
        </w:rPr>
      </w:pPr>
      <w:r>
        <w:rPr>
          <w:rFonts w:ascii="Times New Roman" w:hAnsi="Times New Roman"/>
          <w:sz w:val="28"/>
          <w:szCs w:val="28"/>
        </w:rPr>
        <w:t>04.03.2018</w:t>
      </w:r>
    </w:p>
    <w:p w:rsidR="00F1284B" w:rsidRDefault="00F1284B" w:rsidP="00E71EAA">
      <w:pPr>
        <w:tabs>
          <w:tab w:val="left" w:pos="993"/>
        </w:tabs>
        <w:ind w:firstLine="709"/>
        <w:jc w:val="right"/>
        <w:rPr>
          <w:rFonts w:ascii="Times New Roman" w:hAnsi="Times New Roman"/>
          <w:sz w:val="28"/>
          <w:szCs w:val="28"/>
        </w:rPr>
      </w:pPr>
      <w:r>
        <w:rPr>
          <w:rFonts w:ascii="Times New Roman" w:hAnsi="Times New Roman"/>
          <w:noProof/>
          <w:sz w:val="28"/>
          <w:szCs w:val="28"/>
        </w:rPr>
        <w:drawing>
          <wp:inline distT="0" distB="0" distL="0" distR="0">
            <wp:extent cx="1269150" cy="744279"/>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213.JPG"/>
                    <pic:cNvPicPr/>
                  </pic:nvPicPr>
                  <pic:blipFill rotWithShape="1">
                    <a:blip r:embed="rId12" cstate="print">
                      <a:extLst>
                        <a:ext uri="{28A0092B-C50C-407E-A947-70E740481C1C}">
                          <a14:useLocalDpi xmlns:a14="http://schemas.microsoft.com/office/drawing/2010/main" val="0"/>
                        </a:ext>
                      </a:extLst>
                    </a:blip>
                    <a:srcRect l="26553" t="31721" r="28597" b="33210"/>
                    <a:stretch/>
                  </pic:blipFill>
                  <pic:spPr bwMode="auto">
                    <a:xfrm>
                      <a:off x="0" y="0"/>
                      <a:ext cx="1275013" cy="747717"/>
                    </a:xfrm>
                    <a:prstGeom prst="rect">
                      <a:avLst/>
                    </a:prstGeom>
                    <a:ln>
                      <a:noFill/>
                    </a:ln>
                    <a:extLst>
                      <a:ext uri="{53640926-AAD7-44D8-BBD7-CCE9431645EC}">
                        <a14:shadowObscured xmlns:a14="http://schemas.microsoft.com/office/drawing/2010/main"/>
                      </a:ext>
                    </a:extLst>
                  </pic:spPr>
                </pic:pic>
              </a:graphicData>
            </a:graphic>
          </wp:inline>
        </w:drawing>
      </w:r>
    </w:p>
    <w:p w:rsidR="00E71EAA" w:rsidRPr="00E71EAA" w:rsidRDefault="00F1284B" w:rsidP="00E71EAA">
      <w:pPr>
        <w:tabs>
          <w:tab w:val="left" w:pos="993"/>
        </w:tabs>
        <w:ind w:firstLine="709"/>
        <w:jc w:val="right"/>
        <w:rPr>
          <w:rFonts w:ascii="Times New Roman" w:hAnsi="Times New Roman"/>
          <w:sz w:val="28"/>
          <w:szCs w:val="28"/>
        </w:rPr>
      </w:pPr>
      <w:bookmarkStart w:id="4" w:name="_GoBack"/>
      <w:bookmarkEnd w:id="4"/>
      <w:r>
        <w:rPr>
          <w:rFonts w:ascii="Times New Roman" w:hAnsi="Times New Roman"/>
          <w:noProof/>
          <w:sz w:val="28"/>
          <w:szCs w:val="28"/>
        </w:rPr>
        <w:drawing>
          <wp:inline distT="0" distB="0" distL="0" distR="0">
            <wp:extent cx="1223384" cy="1003924"/>
            <wp:effectExtent l="190500" t="266700" r="91440" b="273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214.JPG"/>
                    <pic:cNvPicPr/>
                  </pic:nvPicPr>
                  <pic:blipFill rotWithShape="1">
                    <a:blip r:embed="rId13" cstate="print">
                      <a:extLst>
                        <a:ext uri="{28A0092B-C50C-407E-A947-70E740481C1C}">
                          <a14:useLocalDpi xmlns:a14="http://schemas.microsoft.com/office/drawing/2010/main" val="0"/>
                        </a:ext>
                      </a:extLst>
                    </a:blip>
                    <a:srcRect l="27334" t="38039" r="37584" b="26349"/>
                    <a:stretch/>
                  </pic:blipFill>
                  <pic:spPr bwMode="auto">
                    <a:xfrm rot="5400000">
                      <a:off x="0" y="0"/>
                      <a:ext cx="1235348" cy="1013742"/>
                    </a:xfrm>
                    <a:prstGeom prst="rect">
                      <a:avLst/>
                    </a:prstGeom>
                    <a:ln>
                      <a:noFill/>
                    </a:ln>
                    <a:extLst>
                      <a:ext uri="{53640926-AAD7-44D8-BBD7-CCE9431645EC}">
                        <a14:shadowObscured xmlns:a14="http://schemas.microsoft.com/office/drawing/2010/main"/>
                      </a:ext>
                    </a:extLst>
                  </pic:spPr>
                </pic:pic>
              </a:graphicData>
            </a:graphic>
          </wp:inline>
        </w:drawing>
      </w:r>
    </w:p>
    <w:sectPr w:rsidR="00E71EAA" w:rsidRPr="00E71EAA" w:rsidSect="00CA0B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715" w:rsidRDefault="00D72715" w:rsidP="00D958A7">
      <w:r>
        <w:separator/>
      </w:r>
    </w:p>
  </w:endnote>
  <w:endnote w:type="continuationSeparator" w:id="0">
    <w:p w:rsidR="00D72715" w:rsidRDefault="00D72715" w:rsidP="00D9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715" w:rsidRDefault="00D72715" w:rsidP="00D958A7">
      <w:r>
        <w:separator/>
      </w:r>
    </w:p>
  </w:footnote>
  <w:footnote w:type="continuationSeparator" w:id="0">
    <w:p w:rsidR="00D72715" w:rsidRDefault="00D72715" w:rsidP="00D9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0272"/>
    <w:multiLevelType w:val="hybridMultilevel"/>
    <w:tmpl w:val="D97CE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A7"/>
    <w:rsid w:val="00092730"/>
    <w:rsid w:val="00391903"/>
    <w:rsid w:val="005027B0"/>
    <w:rsid w:val="006429B2"/>
    <w:rsid w:val="006E00C1"/>
    <w:rsid w:val="007A474D"/>
    <w:rsid w:val="008A40E9"/>
    <w:rsid w:val="009E12FC"/>
    <w:rsid w:val="00A1209F"/>
    <w:rsid w:val="00CA0BE9"/>
    <w:rsid w:val="00D15B29"/>
    <w:rsid w:val="00D72715"/>
    <w:rsid w:val="00D958A7"/>
    <w:rsid w:val="00DA2C42"/>
    <w:rsid w:val="00E71EAA"/>
    <w:rsid w:val="00EE5835"/>
    <w:rsid w:val="00EF0F24"/>
    <w:rsid w:val="00F1284B"/>
    <w:rsid w:val="00F4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D5B2"/>
  <w15:chartTrackingRefBased/>
  <w15:docId w15:val="{59065728-42A0-4550-8868-56DBB6A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958A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link w:val="70"/>
    <w:rsid w:val="00D958A7"/>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D958A7"/>
    <w:pPr>
      <w:shd w:val="clear" w:color="auto" w:fill="FFFFFF"/>
      <w:spacing w:line="274" w:lineRule="exact"/>
      <w:jc w:val="both"/>
    </w:pPr>
    <w:rPr>
      <w:rFonts w:ascii="Times New Roman" w:eastAsia="Times New Roman" w:hAnsi="Times New Roman" w:cstheme="minorBidi"/>
      <w:color w:val="auto"/>
      <w:sz w:val="23"/>
      <w:szCs w:val="23"/>
      <w:lang w:eastAsia="en-US"/>
    </w:rPr>
  </w:style>
  <w:style w:type="character" w:styleId="a3">
    <w:name w:val="footnote reference"/>
    <w:aliases w:val="Знак сноски 1,Ciae niinee 1,Знак сноски-FN,Ciae niinee-FN,Referencia nota al pie,fr,Used by Word for Help footnote symbols,SUPERS"/>
    <w:uiPriority w:val="99"/>
    <w:rsid w:val="00D958A7"/>
    <w:rPr>
      <w:vertAlign w:val="superscript"/>
    </w:rPr>
  </w:style>
  <w:style w:type="table" w:styleId="a4">
    <w:name w:val="Table Grid"/>
    <w:basedOn w:val="a1"/>
    <w:uiPriority w:val="39"/>
    <w:rsid w:val="00D95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958A7"/>
    <w:pPr>
      <w:widowControl/>
      <w:spacing w:after="120" w:line="480" w:lineRule="auto"/>
      <w:ind w:left="283"/>
    </w:pPr>
    <w:rPr>
      <w:rFonts w:ascii="Times New Roman" w:eastAsia="Times New Roman" w:hAnsi="Times New Roman" w:cs="Times New Roman"/>
      <w:color w:val="auto"/>
    </w:rPr>
  </w:style>
  <w:style w:type="character" w:customStyle="1" w:styleId="20">
    <w:name w:val="Основной текст с отступом 2 Знак"/>
    <w:basedOn w:val="a0"/>
    <w:link w:val="2"/>
    <w:rsid w:val="00D958A7"/>
    <w:rPr>
      <w:rFonts w:ascii="Times New Roman" w:eastAsia="Times New Roman" w:hAnsi="Times New Roman" w:cs="Times New Roman"/>
      <w:sz w:val="24"/>
      <w:szCs w:val="24"/>
      <w:lang w:eastAsia="ru-RU"/>
    </w:rPr>
  </w:style>
  <w:style w:type="paragraph" w:styleId="a5">
    <w:name w:val="List Paragraph"/>
    <w:basedOn w:val="a"/>
    <w:uiPriority w:val="34"/>
    <w:qFormat/>
    <w:rsid w:val="00092730"/>
    <w:pPr>
      <w:widowControl/>
      <w:spacing w:after="200" w:line="276" w:lineRule="auto"/>
      <w:ind w:left="720"/>
      <w:contextualSpacing/>
    </w:pPr>
    <w:rPr>
      <w:rFonts w:ascii="Calibri" w:eastAsia="Calibri" w:hAnsi="Calibri" w:cs="Times New Roman"/>
      <w:color w:val="auto"/>
      <w:sz w:val="22"/>
      <w:szCs w:val="22"/>
      <w:lang w:eastAsia="en-US"/>
    </w:rPr>
  </w:style>
  <w:style w:type="character" w:styleId="a6">
    <w:name w:val="Hyperlink"/>
    <w:basedOn w:val="a0"/>
    <w:uiPriority w:val="99"/>
    <w:unhideWhenUsed/>
    <w:rsid w:val="00092730"/>
    <w:rPr>
      <w:color w:val="0563C1" w:themeColor="hyperlink"/>
      <w:u w:val="single"/>
    </w:rPr>
  </w:style>
  <w:style w:type="character" w:styleId="a7">
    <w:name w:val="Unresolved Mention"/>
    <w:basedOn w:val="a0"/>
    <w:uiPriority w:val="99"/>
    <w:semiHidden/>
    <w:unhideWhenUsed/>
    <w:rsid w:val="0009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1;&#1080;&#1083;&#1080;&#1103;\Desktop\&#1048;&#1085;&#1074;&#1077;&#1089;&#1090;&#1080;&#1094;&#1080;&#1080;.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2;-&#1074;&#1080;&#1076;&#1077;&#1086;\Desktop\&#1052;&#1072;&#1075;&#1080;&#1089;&#1090;&#1088;&#1072;&#1090;&#1091;&#1088;&#1072;\&#1048;&#1085;&#1074;&#1077;&#1089;&#1090;&#1080;&#1094;&#1080;&#1080;.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1052;-&#1074;&#1080;&#1076;&#1077;&#1086;\Desktop\&#1052;&#1072;&#1075;&#1080;&#1089;&#1090;&#1088;&#1072;&#1090;&#1091;&#1088;&#1072;\&#1048;&#1085;&#1074;&#1077;&#1089;&#1090;&#1080;&#1094;&#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'Источники по ФО'!$C$2</c:f>
              <c:strCache>
                <c:ptCount val="1"/>
                <c:pt idx="0">
                  <c:v>2005</c:v>
                </c:pt>
              </c:strCache>
            </c:strRef>
          </c:tx>
          <c:spPr>
            <a:solidFill>
              <a:schemeClr val="dk1">
                <a:tint val="88500"/>
              </a:schemeClr>
            </a:solidFill>
            <a:ln>
              <a:noFill/>
            </a:ln>
            <a:effectLst/>
          </c:spPr>
          <c:invertIfNegative val="0"/>
          <c:cat>
            <c:strRef>
              <c:f>'Источники по ФО'!$B$3:$B$10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'Источники по ФО'!$C$3:$C$10</c:f>
              <c:numCache>
                <c:formatCode>General</c:formatCode>
                <c:ptCount val="8"/>
                <c:pt idx="0">
                  <c:v>28</c:v>
                </c:pt>
                <c:pt idx="1">
                  <c:v>15</c:v>
                </c:pt>
                <c:pt idx="2">
                  <c:v>17.899999999999999</c:v>
                </c:pt>
                <c:pt idx="3">
                  <c:v>48</c:v>
                </c:pt>
                <c:pt idx="4">
                  <c:v>20.399999999999999</c:v>
                </c:pt>
                <c:pt idx="5">
                  <c:v>16</c:v>
                </c:pt>
                <c:pt idx="6">
                  <c:v>15.5</c:v>
                </c:pt>
                <c:pt idx="7">
                  <c:v>14.7</c:v>
                </c:pt>
              </c:numCache>
            </c:numRef>
          </c:val>
          <c:extLst>
            <c:ext xmlns:c16="http://schemas.microsoft.com/office/drawing/2014/chart" uri="{C3380CC4-5D6E-409C-BE32-E72D297353CC}">
              <c16:uniqueId val="{00000000-24D6-4394-9666-C5152B1F99DB}"/>
            </c:ext>
          </c:extLst>
        </c:ser>
        <c:ser>
          <c:idx val="1"/>
          <c:order val="1"/>
          <c:tx>
            <c:strRef>
              <c:f>'Источники по ФО'!$D$2</c:f>
              <c:strCache>
                <c:ptCount val="1"/>
                <c:pt idx="0">
                  <c:v>2010</c:v>
                </c:pt>
              </c:strCache>
            </c:strRef>
          </c:tx>
          <c:spPr>
            <a:solidFill>
              <a:schemeClr val="dk1">
                <a:tint val="55000"/>
              </a:schemeClr>
            </a:solidFill>
            <a:ln>
              <a:noFill/>
            </a:ln>
            <a:effectLst/>
          </c:spPr>
          <c:invertIfNegative val="0"/>
          <c:cat>
            <c:strRef>
              <c:f>'Источники по ФО'!$B$3:$B$10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'Источники по ФО'!$D$3:$D$10</c:f>
              <c:numCache>
                <c:formatCode>General</c:formatCode>
                <c:ptCount val="8"/>
                <c:pt idx="0">
                  <c:v>23.4</c:v>
                </c:pt>
                <c:pt idx="1">
                  <c:v>20.100000000000001</c:v>
                </c:pt>
                <c:pt idx="2">
                  <c:v>19.399999999999999</c:v>
                </c:pt>
                <c:pt idx="3">
                  <c:v>41.3</c:v>
                </c:pt>
                <c:pt idx="4">
                  <c:v>18.399999999999999</c:v>
                </c:pt>
                <c:pt idx="5">
                  <c:v>11.8</c:v>
                </c:pt>
                <c:pt idx="6">
                  <c:v>17.8</c:v>
                </c:pt>
                <c:pt idx="7">
                  <c:v>23</c:v>
                </c:pt>
              </c:numCache>
            </c:numRef>
          </c:val>
          <c:extLst>
            <c:ext xmlns:c16="http://schemas.microsoft.com/office/drawing/2014/chart" uri="{C3380CC4-5D6E-409C-BE32-E72D297353CC}">
              <c16:uniqueId val="{00000001-24D6-4394-9666-C5152B1F99DB}"/>
            </c:ext>
          </c:extLst>
        </c:ser>
        <c:ser>
          <c:idx val="2"/>
          <c:order val="2"/>
          <c:tx>
            <c:strRef>
              <c:f>'Источники по ФО'!$E$2</c:f>
              <c:strCache>
                <c:ptCount val="1"/>
                <c:pt idx="0">
                  <c:v>2015</c:v>
                </c:pt>
              </c:strCache>
            </c:strRef>
          </c:tx>
          <c:spPr>
            <a:solidFill>
              <a:schemeClr val="dk1">
                <a:tint val="75000"/>
              </a:schemeClr>
            </a:solidFill>
            <a:ln>
              <a:noFill/>
            </a:ln>
            <a:effectLst/>
          </c:spPr>
          <c:invertIfNegative val="0"/>
          <c:cat>
            <c:strRef>
              <c:f>'Источники по ФО'!$B$3:$B$10</c:f>
              <c:strCache>
                <c:ptCount val="8"/>
                <c:pt idx="0">
                  <c:v>Центральный федеральный округ</c:v>
                </c:pt>
                <c:pt idx="1">
                  <c:v>Северо-Западный федеральный округ</c:v>
                </c:pt>
                <c:pt idx="2">
                  <c:v>Южный федеральный округ</c:v>
                </c:pt>
                <c:pt idx="3">
                  <c:v>Северо-Кавказский федеральный округ</c:v>
                </c:pt>
                <c:pt idx="4">
                  <c:v>Приволжский федеральный округ</c:v>
                </c:pt>
                <c:pt idx="5">
                  <c:v>Уральский федеральный округ</c:v>
                </c:pt>
                <c:pt idx="6">
                  <c:v>Сибирский федеральный округ</c:v>
                </c:pt>
                <c:pt idx="7">
                  <c:v>Дальневосточный федеральный округ</c:v>
                </c:pt>
              </c:strCache>
            </c:strRef>
          </c:cat>
          <c:val>
            <c:numRef>
              <c:f>'Источники по ФО'!$E$3:$E$10</c:f>
              <c:numCache>
                <c:formatCode>General</c:formatCode>
                <c:ptCount val="8"/>
                <c:pt idx="0">
                  <c:v>23.3</c:v>
                </c:pt>
                <c:pt idx="1">
                  <c:v>22.9</c:v>
                </c:pt>
                <c:pt idx="2">
                  <c:v>14.8</c:v>
                </c:pt>
                <c:pt idx="3">
                  <c:v>40.9</c:v>
                </c:pt>
                <c:pt idx="4">
                  <c:v>12.6</c:v>
                </c:pt>
                <c:pt idx="5">
                  <c:v>13.6</c:v>
                </c:pt>
                <c:pt idx="6">
                  <c:v>16</c:v>
                </c:pt>
                <c:pt idx="7">
                  <c:v>21</c:v>
                </c:pt>
              </c:numCache>
            </c:numRef>
          </c:val>
          <c:extLst>
            <c:ext xmlns:c16="http://schemas.microsoft.com/office/drawing/2014/chart" uri="{C3380CC4-5D6E-409C-BE32-E72D297353CC}">
              <c16:uniqueId val="{00000002-24D6-4394-9666-C5152B1F99DB}"/>
            </c:ext>
          </c:extLst>
        </c:ser>
        <c:dLbls>
          <c:showLegendKey val="0"/>
          <c:showVal val="0"/>
          <c:showCatName val="0"/>
          <c:showSerName val="0"/>
          <c:showPercent val="0"/>
          <c:showBubbleSize val="0"/>
        </c:dLbls>
        <c:gapWidth val="300"/>
        <c:axId val="627885120"/>
        <c:axId val="627882168"/>
      </c:barChart>
      <c:catAx>
        <c:axId val="627885120"/>
        <c:scaling>
          <c:orientation val="minMax"/>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Федеральный округ</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7882168"/>
        <c:crosses val="autoZero"/>
        <c:auto val="1"/>
        <c:lblAlgn val="ctr"/>
        <c:lblOffset val="100"/>
        <c:noMultiLvlLbl val="0"/>
      </c:catAx>
      <c:valAx>
        <c:axId val="6278821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7885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'Источники финансирования'!$B$18</c:f>
              <c:strCache>
                <c:ptCount val="1"/>
                <c:pt idx="0">
                  <c:v>средства внебюджетных фондов</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poly"/>
            <c:order val="5"/>
            <c:dispRSqr val="1"/>
            <c:dispEq val="1"/>
            <c:trendlineLbl>
              <c:layout>
                <c:manualLayout>
                  <c:x val="0.3874201464889091"/>
                  <c:y val="-0.1448436132983377"/>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cat>
            <c:strRef>
              <c:f>'Источники финансирования'!$C$4:$N$4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'Источники финансирования'!$C$18:$N$18</c:f>
              <c:numCache>
                <c:formatCode>#,##0.####</c:formatCode>
                <c:ptCount val="12"/>
                <c:pt idx="0">
                  <c:v>15605.6</c:v>
                </c:pt>
                <c:pt idx="1">
                  <c:v>19821.7</c:v>
                </c:pt>
                <c:pt idx="2">
                  <c:v>27322.799999999999</c:v>
                </c:pt>
                <c:pt idx="3">
                  <c:v>23692.5</c:v>
                </c:pt>
                <c:pt idx="4">
                  <c:v>16196.7</c:v>
                </c:pt>
                <c:pt idx="5">
                  <c:v>21000.71</c:v>
                </c:pt>
                <c:pt idx="6">
                  <c:v>18250.2</c:v>
                </c:pt>
                <c:pt idx="7">
                  <c:v>33341.199999999997</c:v>
                </c:pt>
                <c:pt idx="8">
                  <c:v>27854.6</c:v>
                </c:pt>
                <c:pt idx="9">
                  <c:v>23968.6</c:v>
                </c:pt>
                <c:pt idx="10">
                  <c:v>27337.9</c:v>
                </c:pt>
                <c:pt idx="11">
                  <c:v>27773.5</c:v>
                </c:pt>
              </c:numCache>
            </c:numRef>
          </c:val>
          <c:smooth val="0"/>
          <c:extLst>
            <c:ext xmlns:c16="http://schemas.microsoft.com/office/drawing/2014/chart" uri="{C3380CC4-5D6E-409C-BE32-E72D297353CC}">
              <c16:uniqueId val="{00000001-27BE-4D25-A472-4C64E2E4F2CF}"/>
            </c:ext>
          </c:extLst>
        </c:ser>
        <c:dLbls>
          <c:showLegendKey val="0"/>
          <c:showVal val="0"/>
          <c:showCatName val="0"/>
          <c:showSerName val="0"/>
          <c:showPercent val="0"/>
          <c:showBubbleSize val="0"/>
        </c:dLbls>
        <c:marker val="1"/>
        <c:smooth val="0"/>
        <c:axId val="338089704"/>
        <c:axId val="338091672"/>
      </c:lineChart>
      <c:catAx>
        <c:axId val="33808970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38091672"/>
        <c:crosses val="autoZero"/>
        <c:auto val="1"/>
        <c:lblAlgn val="ctr"/>
        <c:lblOffset val="100"/>
        <c:noMultiLvlLbl val="0"/>
      </c:catAx>
      <c:valAx>
        <c:axId val="338091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млн.руб.</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38089704"/>
        <c:crosses val="autoZero"/>
        <c:crossBetween val="between"/>
      </c:valAx>
      <c:spPr>
        <a:noFill/>
        <a:ln>
          <a:noFill/>
        </a:ln>
        <a:effectLst/>
      </c:spPr>
    </c:plotArea>
    <c:legend>
      <c:legendPos val="r"/>
      <c:layout>
        <c:manualLayout>
          <c:xMode val="edge"/>
          <c:yMode val="edge"/>
          <c:x val="0.66919374247894103"/>
          <c:y val="0.38087634878973464"/>
          <c:w val="0.31636582430806259"/>
          <c:h val="0.312321376494604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'[Инвестиции.xlsx]Инвестиции в основной капитал'!$B$5:$B$19</cx:f>
        <cx:lvl ptCount="15">
          <cx:pt idx="0">2002</cx:pt>
          <cx:pt idx="1">2003</cx:pt>
          <cx:pt idx="2">2004</cx:pt>
          <cx:pt idx="3">2005</cx:pt>
          <cx:pt idx="4">2006</cx:pt>
          <cx:pt idx="5">2007</cx:pt>
          <cx:pt idx="6">2008</cx:pt>
          <cx:pt idx="7">2009</cx:pt>
          <cx:pt idx="8">2010</cx:pt>
          <cx:pt idx="9">2011</cx:pt>
          <cx:pt idx="10">2012</cx:pt>
          <cx:pt idx="11">2013</cx:pt>
          <cx:pt idx="12">2014</cx:pt>
          <cx:pt idx="13">2015</cx:pt>
          <cx:pt idx="14">2016</cx:pt>
        </cx:lvl>
      </cx:strDim>
      <cx:numDim type="val">
        <cx:f>'[Инвестиции.xlsx]Инвестиции в основной капитал'!$H$5:$H$19</cx:f>
        <cx:lvl ptCount="15" formatCode="0,0">
          <cx:pt idx="0">17.126337475908812</cx:pt>
          <cx:pt idx="1">24.05810258738083</cx:pt>
          <cx:pt idx="2">31.037321624588373</cx:pt>
          <cx:pt idx="3">26.041884816753907</cx:pt>
          <cx:pt idx="4">30.985018415441289</cx:pt>
          <cx:pt idx="5">41.991543340380559</cx:pt>
          <cx:pt idx="6">30.752508859176316</cx:pt>
          <cx:pt idx="7">-9.1737268834836527</cx:pt>
          <cx:pt idx="8">14.745486459378142</cx:pt>
          <cx:pt idx="9">20.581068825733979</cx:pt>
          <cx:pt idx="10">14.048950225178288</cx:pt>
          <cx:pt idx="11">6.865510364608582</cx:pt>
          <cx:pt idx="12">3.3635187580853767</cx:pt>
          <cx:pt idx="13">-0.038841655517671825</cx:pt>
          <cx:pt idx="14">5.3435224361741689</cx:pt>
        </cx:lvl>
      </cx:numDim>
    </cx:data>
  </cx:chartData>
  <cx:chart>
    <cx:plotArea>
      <cx:plotAreaRegion>
        <cx:series layoutId="waterfall" uniqueId="{78687366-5F23-4AEB-A77A-382CBA2E1A35}">
          <cx:dataLabels pos="outEnd">
            <cx:txPr>
              <a:bodyPr spcFirstLastPara="1" vertOverflow="ellipsis" wrap="square" lIns="0" tIns="0" rIns="0" bIns="0" anchor="ctr" anchorCtr="1">
                <a:spAutoFit/>
              </a:bodyPr>
              <a:lstStyle/>
              <a:p>
                <a:pPr>
                  <a:defRPr sz="800">
                    <a:latin typeface="Times New Roman" panose="02020603050405020304" pitchFamily="18" charset="0"/>
                    <a:ea typeface="Times New Roman" panose="02020603050405020304" pitchFamily="18" charset="0"/>
                    <a:cs typeface="Times New Roman" panose="02020603050405020304" pitchFamily="18" charset="0"/>
                  </a:defRPr>
                </a:pPr>
                <a:endParaRPr lang="en-US" sz="800">
                  <a:latin typeface="Times New Roman" panose="02020603050405020304" pitchFamily="18" charset="0"/>
                  <a:cs typeface="Times New Roman" panose="02020603050405020304" pitchFamily="18" charset="0"/>
                </a:endParaRPr>
              </a:p>
            </cx:txPr>
            <cx:visibility seriesName="0" categoryName="0" value="1"/>
          </cx:dataLabels>
          <cx:dataId val="0"/>
          <cx:layoutPr>
            <cx:visibility connectorLines="0"/>
            <cx:subtotals/>
          </cx:layoutPr>
        </cx:series>
      </cx:plotAreaRegion>
      <cx:axis id="0">
        <cx:catScaling gapWidth="0.200000003"/>
        <cx:title>
          <cx:tx>
            <cx:rich>
              <a:bodyPr spcFirstLastPara="1" vertOverflow="ellipsis" wrap="square" lIns="0" tIns="0" rIns="0" bIns="0" anchor="ctr" anchorCtr="1"/>
              <a:lstStyle/>
              <a:p>
                <a:pPr algn="ctr">
                  <a:defRPr sz="800">
                    <a:latin typeface="Times New Roman" panose="02020603050405020304" pitchFamily="18" charset="0"/>
                    <a:ea typeface="Times New Roman" panose="02020603050405020304" pitchFamily="18" charset="0"/>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год</a:t>
                </a:r>
                <a:endParaRPr lang="en-US" sz="800">
                  <a:latin typeface="Times New Roman" panose="02020603050405020304" pitchFamily="18" charset="0"/>
                  <a:cs typeface="Times New Roman" panose="02020603050405020304" pitchFamily="18" charset="0"/>
                </a:endParaRPr>
              </a:p>
            </cx:rich>
          </cx:tx>
        </cx:title>
        <cx:tickLabels/>
        <cx:txPr>
          <a:bodyPr spcFirstLastPara="1" vertOverflow="ellipsis" wrap="square" lIns="0" tIns="0" rIns="0" bIns="0" anchor="ctr" anchorCtr="1"/>
          <a:lstStyle/>
          <a:p>
            <a:pPr>
              <a:defRPr sz="800">
                <a:latin typeface="Times New Roman" panose="02020603050405020304" pitchFamily="18" charset="0"/>
                <a:ea typeface="Times New Roman" panose="02020603050405020304" pitchFamily="18" charset="0"/>
                <a:cs typeface="Times New Roman" panose="02020603050405020304" pitchFamily="18" charset="0"/>
              </a:defRPr>
            </a:pPr>
            <a:endParaRPr lang="en-US" sz="800">
              <a:latin typeface="Times New Roman" panose="02020603050405020304" pitchFamily="18" charset="0"/>
              <a:cs typeface="Times New Roman" panose="02020603050405020304" pitchFamily="18" charset="0"/>
            </a:endParaRPr>
          </a:p>
        </cx:txPr>
      </cx:axis>
      <cx:axis id="1">
        <cx:valScaling/>
        <cx:title>
          <cx:tx>
            <cx:rich>
              <a:bodyPr spcFirstLastPara="1" vertOverflow="ellipsis" wrap="square" lIns="0" tIns="0" rIns="0" bIns="0" anchor="ctr" anchorCtr="1"/>
              <a:lstStyle/>
              <a:p>
                <a:pPr algn="ctr">
                  <a:defRPr sz="800">
                    <a:latin typeface="Times New Roman" panose="02020603050405020304" pitchFamily="18" charset="0"/>
                    <a:ea typeface="Times New Roman" panose="02020603050405020304" pitchFamily="18" charset="0"/>
                    <a:cs typeface="Times New Roman" panose="02020603050405020304" pitchFamily="18" charset="0"/>
                  </a:defRPr>
                </a:pPr>
                <a:r>
                  <a:rPr lang="ru-RU" sz="800">
                    <a:latin typeface="Times New Roman" panose="02020603050405020304" pitchFamily="18" charset="0"/>
                    <a:cs typeface="Times New Roman" panose="02020603050405020304" pitchFamily="18" charset="0"/>
                  </a:rPr>
                  <a:t>%</a:t>
                </a:r>
                <a:endParaRPr lang="en-US" sz="800">
                  <a:latin typeface="Times New Roman" panose="02020603050405020304" pitchFamily="18" charset="0"/>
                  <a:cs typeface="Times New Roman" panose="02020603050405020304" pitchFamily="18" charset="0"/>
                </a:endParaRPr>
              </a:p>
            </cx:rich>
          </cx:tx>
        </cx:title>
        <cx:tickLabels/>
        <cx:txPr>
          <a:bodyPr spcFirstLastPara="1" vertOverflow="ellipsis" wrap="square" lIns="0" tIns="0" rIns="0" bIns="0" anchor="ctr" anchorCtr="1"/>
          <a:lstStyle/>
          <a:p>
            <a:pPr>
              <a:defRPr sz="800">
                <a:latin typeface="Times New Roman" panose="02020603050405020304" pitchFamily="18" charset="0"/>
                <a:ea typeface="Times New Roman" panose="02020603050405020304" pitchFamily="18" charset="0"/>
                <a:cs typeface="Times New Roman" panose="02020603050405020304" pitchFamily="18" charset="0"/>
              </a:defRPr>
            </a:pPr>
            <a:endParaRPr lang="en-US" sz="800">
              <a:latin typeface="Times New Roman" panose="02020603050405020304" pitchFamily="18" charset="0"/>
              <a:cs typeface="Times New Roman" panose="02020603050405020304" pitchFamily="18" charset="0"/>
            </a:endParaRPr>
          </a:p>
        </cx:txPr>
      </cx:axis>
    </cx:plotArea>
    <cx:legend pos="t" align="ctr" overlay="0">
      <cx:txPr>
        <a:bodyPr spcFirstLastPara="1" vertOverflow="ellipsis" wrap="square" lIns="0" tIns="0" rIns="0" bIns="0" anchor="ctr" anchorCtr="1"/>
        <a:lstStyle/>
        <a:p>
          <a:pPr>
            <a:defRPr sz="800">
              <a:latin typeface="Times New Roman" panose="02020603050405020304" pitchFamily="18" charset="0"/>
              <a:ea typeface="Times New Roman" panose="02020603050405020304" pitchFamily="18" charset="0"/>
              <a:cs typeface="Times New Roman" panose="02020603050405020304" pitchFamily="18" charset="0"/>
            </a:defRPr>
          </a:pPr>
          <a:endParaRPr lang="en-US" sz="800">
            <a:latin typeface="Times New Roman" panose="02020603050405020304" pitchFamily="18" charset="0"/>
            <a:cs typeface="Times New Roman" panose="02020603050405020304" pitchFamily="18" charset="0"/>
          </a:endParaRPr>
        </a:p>
      </cx:txPr>
    </cx:legend>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9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bodyPr/>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E0E0-9AFB-40E9-A51C-3E736A24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Михейкина</dc:creator>
  <cp:keywords/>
  <dc:description/>
  <cp:lastModifiedBy>Лилия Михейкина</cp:lastModifiedBy>
  <cp:revision>3</cp:revision>
  <dcterms:created xsi:type="dcterms:W3CDTF">2018-03-04T18:05:00Z</dcterms:created>
  <dcterms:modified xsi:type="dcterms:W3CDTF">2018-03-04T20:30:00Z</dcterms:modified>
</cp:coreProperties>
</file>